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A9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Objetivo</w:t>
      </w:r>
    </w:p>
    <w:p w:rsidR="00106CA9" w:rsidRDefault="009B6FA5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106CA9">
        <w:rPr>
          <w:rFonts w:ascii="Verdana" w:hAnsi="Verdana"/>
          <w:sz w:val="20"/>
          <w:szCs w:val="20"/>
        </w:rPr>
        <w:t>Definir diretrizes e padronizar procedimentos q</w:t>
      </w:r>
      <w:r w:rsidR="00733A99" w:rsidRPr="00106CA9">
        <w:rPr>
          <w:rFonts w:ascii="Verdana" w:hAnsi="Verdana"/>
          <w:sz w:val="20"/>
          <w:szCs w:val="20"/>
        </w:rPr>
        <w:t>ue suportem</w:t>
      </w:r>
      <w:r w:rsidR="0034144B" w:rsidRPr="00106CA9">
        <w:rPr>
          <w:rFonts w:ascii="Verdana" w:hAnsi="Verdana"/>
          <w:sz w:val="20"/>
          <w:szCs w:val="20"/>
        </w:rPr>
        <w:t xml:space="preserve"> as atividades realizadas pela Gerência de Controladoria referente aos</w:t>
      </w:r>
      <w:r w:rsidR="00733A99" w:rsidRPr="00106CA9">
        <w:rPr>
          <w:rFonts w:ascii="Verdana" w:hAnsi="Verdana"/>
          <w:sz w:val="20"/>
          <w:szCs w:val="20"/>
        </w:rPr>
        <w:t xml:space="preserve"> processos</w:t>
      </w:r>
      <w:r w:rsidRPr="00106CA9">
        <w:rPr>
          <w:rFonts w:ascii="Verdana" w:hAnsi="Verdana"/>
          <w:sz w:val="20"/>
          <w:szCs w:val="20"/>
        </w:rPr>
        <w:t xml:space="preserve"> de Tesouraria da SP Turismo, visando o melhor planejamento e possibilitando a tomada de decisão por parte dos gestores.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06CA9" w:rsidRPr="00106CA9" w:rsidRDefault="009B6FA5" w:rsidP="00F729F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06CA9">
        <w:rPr>
          <w:rFonts w:ascii="Verdana" w:hAnsi="Verdana"/>
          <w:b/>
          <w:sz w:val="20"/>
          <w:szCs w:val="20"/>
        </w:rPr>
        <w:t>Abrangência</w:t>
      </w:r>
    </w:p>
    <w:p w:rsidR="006D19C1" w:rsidRPr="00106CA9" w:rsidRDefault="009B6FA5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106CA9">
        <w:rPr>
          <w:rFonts w:ascii="Verdana" w:hAnsi="Verdana"/>
          <w:sz w:val="20"/>
          <w:szCs w:val="20"/>
        </w:rPr>
        <w:t xml:space="preserve">As definições, diretrizes e demais orientações introduzidas por esta norma aplicam-se aos colaboradores envolvidos na </w:t>
      </w:r>
      <w:r w:rsidR="0034144B" w:rsidRPr="00106CA9">
        <w:rPr>
          <w:rFonts w:ascii="Verdana" w:hAnsi="Verdana"/>
          <w:sz w:val="20"/>
          <w:szCs w:val="20"/>
        </w:rPr>
        <w:t>áre</w:t>
      </w:r>
      <w:r w:rsidR="00F13ABD" w:rsidRPr="00106CA9">
        <w:rPr>
          <w:rFonts w:ascii="Verdana" w:hAnsi="Verdana"/>
          <w:sz w:val="20"/>
          <w:szCs w:val="20"/>
        </w:rPr>
        <w:t>a de</w:t>
      </w:r>
      <w:r w:rsidR="007154A8" w:rsidRPr="00106CA9">
        <w:rPr>
          <w:rFonts w:ascii="Verdana" w:hAnsi="Verdana"/>
          <w:sz w:val="20"/>
          <w:szCs w:val="20"/>
        </w:rPr>
        <w:t xml:space="preserve"> </w:t>
      </w:r>
      <w:r w:rsidR="00F13ABD" w:rsidRPr="00106CA9">
        <w:rPr>
          <w:rFonts w:ascii="Verdana" w:hAnsi="Verdana"/>
          <w:sz w:val="20"/>
          <w:szCs w:val="20"/>
        </w:rPr>
        <w:t>Coordenadoria de Finança</w:t>
      </w:r>
      <w:r w:rsidR="007154A8" w:rsidRPr="00106CA9">
        <w:rPr>
          <w:rFonts w:ascii="Verdana" w:hAnsi="Verdana"/>
          <w:sz w:val="20"/>
          <w:szCs w:val="20"/>
        </w:rPr>
        <w:t xml:space="preserve"> (</w:t>
      </w:r>
      <w:r w:rsidR="0034144B" w:rsidRPr="00106CA9">
        <w:rPr>
          <w:rFonts w:ascii="Verdana" w:hAnsi="Verdana"/>
          <w:sz w:val="20"/>
          <w:szCs w:val="20"/>
        </w:rPr>
        <w:t>Tesouraria</w:t>
      </w:r>
      <w:r w:rsidR="007154A8" w:rsidRPr="00106CA9">
        <w:rPr>
          <w:rFonts w:ascii="Verdana" w:hAnsi="Verdana"/>
          <w:sz w:val="20"/>
          <w:szCs w:val="20"/>
        </w:rPr>
        <w:t>)</w:t>
      </w:r>
      <w:r w:rsidRPr="00106CA9">
        <w:rPr>
          <w:rFonts w:ascii="Verdana" w:hAnsi="Verdana"/>
          <w:sz w:val="20"/>
          <w:szCs w:val="20"/>
        </w:rPr>
        <w:t xml:space="preserve"> da SP Turismo.</w:t>
      </w:r>
    </w:p>
    <w:p w:rsidR="006D19C1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36E5A" w:rsidRPr="00106CA9" w:rsidRDefault="009B6FA5" w:rsidP="00727BFC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06CA9">
        <w:rPr>
          <w:rFonts w:ascii="Verdana" w:hAnsi="Verdana"/>
          <w:b/>
          <w:sz w:val="20"/>
          <w:szCs w:val="20"/>
        </w:rPr>
        <w:t>Definições</w:t>
      </w:r>
    </w:p>
    <w:p w:rsidR="007A2266" w:rsidRPr="00EF2E79" w:rsidRDefault="007A2266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F2E79">
        <w:rPr>
          <w:rFonts w:ascii="Verdana" w:hAnsi="Verdana"/>
          <w:sz w:val="20"/>
          <w:szCs w:val="20"/>
          <w:u w:val="single"/>
        </w:rPr>
        <w:t>CFI:</w:t>
      </w:r>
      <w:r w:rsidRPr="00EF2E79">
        <w:rPr>
          <w:rFonts w:ascii="Verdana" w:hAnsi="Verdana"/>
          <w:sz w:val="20"/>
          <w:szCs w:val="20"/>
        </w:rPr>
        <w:t xml:space="preserve"> Coordenadoria de Finanças.</w:t>
      </w:r>
    </w:p>
    <w:p w:rsidR="007A2266" w:rsidRPr="00EF2E79" w:rsidRDefault="007A2266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F2E79">
        <w:rPr>
          <w:rFonts w:ascii="Verdana" w:hAnsi="Verdana"/>
          <w:sz w:val="20"/>
          <w:szCs w:val="20"/>
          <w:u w:val="single"/>
        </w:rPr>
        <w:t>DAF:</w:t>
      </w:r>
      <w:r w:rsidRPr="00EF2E79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7A2266" w:rsidRPr="00EF2E79" w:rsidRDefault="007A2266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GDC:</w:t>
      </w:r>
      <w:r w:rsidRPr="007A2266">
        <w:rPr>
          <w:rFonts w:ascii="Verdana" w:hAnsi="Verdana"/>
          <w:sz w:val="20"/>
          <w:szCs w:val="20"/>
        </w:rPr>
        <w:t xml:space="preserve"> Gerência de Controladoria.</w:t>
      </w:r>
    </w:p>
    <w:p w:rsidR="007A2266" w:rsidRPr="00EF2E79" w:rsidRDefault="007A2266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F2E79">
        <w:rPr>
          <w:rFonts w:ascii="Verdana" w:hAnsi="Verdana"/>
          <w:sz w:val="20"/>
          <w:szCs w:val="20"/>
          <w:u w:val="single"/>
        </w:rPr>
        <w:t>GRH:</w:t>
      </w:r>
      <w:r w:rsidRPr="00EF2E79">
        <w:rPr>
          <w:rFonts w:ascii="Verdana" w:hAnsi="Verdana"/>
          <w:sz w:val="20"/>
          <w:szCs w:val="20"/>
        </w:rPr>
        <w:t xml:space="preserve"> Gerência de Recursos Humanos.</w:t>
      </w:r>
    </w:p>
    <w:p w:rsidR="007A2266" w:rsidRPr="007A2266" w:rsidRDefault="007A2266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EF2E79">
        <w:rPr>
          <w:rFonts w:ascii="Verdana" w:hAnsi="Verdana"/>
          <w:sz w:val="20"/>
          <w:szCs w:val="20"/>
          <w:u w:val="single"/>
        </w:rPr>
        <w:t>Tesouraria:</w:t>
      </w:r>
      <w:r w:rsidRPr="00EF2E79">
        <w:rPr>
          <w:rFonts w:ascii="Verdana" w:hAnsi="Verdana"/>
          <w:sz w:val="20"/>
          <w:szCs w:val="20"/>
        </w:rPr>
        <w:t xml:space="preserve"> Operações e técnicas referentes a valores monetários para otimizar a área de Finanças.</w:t>
      </w:r>
    </w:p>
    <w:p w:rsidR="006D19C1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0B79D4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Diretrizes</w:t>
      </w:r>
    </w:p>
    <w:p w:rsidR="00193EC9" w:rsidRPr="00106CA9" w:rsidRDefault="009B6FA5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Fechamento Diário</w:t>
      </w:r>
    </w:p>
    <w:p w:rsidR="00193EC9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="00CC3B83" w:rsidRPr="00EF2E79">
        <w:rPr>
          <w:rFonts w:ascii="Verdana" w:hAnsi="Verdana"/>
          <w:sz w:val="20"/>
          <w:szCs w:val="20"/>
        </w:rPr>
        <w:t xml:space="preserve"> </w:t>
      </w:r>
      <w:r w:rsidRPr="00EF2E79">
        <w:rPr>
          <w:rFonts w:ascii="Verdana" w:hAnsi="Verdana"/>
          <w:sz w:val="20"/>
          <w:szCs w:val="20"/>
        </w:rPr>
        <w:t xml:space="preserve">deve </w:t>
      </w:r>
      <w:r w:rsidR="00F06E47">
        <w:rPr>
          <w:rFonts w:ascii="Verdana" w:hAnsi="Verdana"/>
          <w:sz w:val="20"/>
          <w:szCs w:val="20"/>
        </w:rPr>
        <w:t>extrair diariamente relatórios dos títulos em aberto dos fornecedores (atribuição de contas a pagar) e dos clientes (atribuição de contas a receber)</w:t>
      </w:r>
      <w:r w:rsidRPr="00EF2E79">
        <w:rPr>
          <w:rFonts w:ascii="Verdana" w:hAnsi="Verdana"/>
          <w:sz w:val="20"/>
          <w:szCs w:val="20"/>
        </w:rPr>
        <w:t xml:space="preserve"> do sistema Protheus contendo todos os títulos em aberto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193EC9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extrair diariamente extrato bancário, nos sites dos respectivos bancos em que a SP Turismo possui conta aberta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193EC9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realizar a conciliação das informações supracitadas, entre os títulos abertos e a movimentação bancaria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193EC9" w:rsidRPr="00EF2E7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Posteriorm</w:t>
      </w:r>
      <w:r w:rsidR="00047460" w:rsidRPr="00EF2E79">
        <w:rPr>
          <w:rFonts w:ascii="Verdana" w:hAnsi="Verdana"/>
          <w:sz w:val="20"/>
          <w:szCs w:val="20"/>
        </w:rPr>
        <w:t>ente a conciliação, a CFI (Tesouraria)</w:t>
      </w:r>
      <w:r w:rsidRPr="00EF2E79">
        <w:rPr>
          <w:rFonts w:ascii="Verdana" w:hAnsi="Verdana"/>
          <w:sz w:val="20"/>
          <w:szCs w:val="20"/>
        </w:rPr>
        <w:t xml:space="preserve"> deve enviar a conciliação para os responsáveis de </w:t>
      </w:r>
      <w:r w:rsidR="0034144B" w:rsidRPr="00EF2E79">
        <w:rPr>
          <w:rFonts w:ascii="Verdana" w:hAnsi="Verdana"/>
          <w:sz w:val="20"/>
          <w:szCs w:val="20"/>
        </w:rPr>
        <w:t xml:space="preserve">(CFI) </w:t>
      </w:r>
      <w:r w:rsidRPr="00EF2E79">
        <w:rPr>
          <w:rFonts w:ascii="Verdana" w:hAnsi="Verdana"/>
          <w:sz w:val="20"/>
          <w:szCs w:val="20"/>
        </w:rPr>
        <w:t>Contas a Pagar e de</w:t>
      </w:r>
      <w:r w:rsidR="0034144B" w:rsidRPr="00EF2E79">
        <w:rPr>
          <w:rFonts w:ascii="Verdana" w:hAnsi="Verdana"/>
          <w:sz w:val="20"/>
          <w:szCs w:val="20"/>
        </w:rPr>
        <w:t xml:space="preserve"> (CFI)</w:t>
      </w:r>
      <w:r w:rsidRPr="00EF2E79">
        <w:rPr>
          <w:rFonts w:ascii="Verdana" w:hAnsi="Verdana"/>
          <w:sz w:val="20"/>
          <w:szCs w:val="20"/>
        </w:rPr>
        <w:t xml:space="preserve"> Contas a Receber com a relação dos títulos não identificados a realização da baixa no sistema.</w:t>
      </w:r>
    </w:p>
    <w:p w:rsidR="00193EC9" w:rsidRPr="00EF2E79" w:rsidRDefault="00E67CC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06CA9" w:rsidRPr="00106CA9" w:rsidRDefault="009B6FA5" w:rsidP="00A61DFF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 w:cs="Georgia"/>
          <w:iCs/>
          <w:sz w:val="20"/>
          <w:szCs w:val="20"/>
        </w:rPr>
      </w:pPr>
      <w:r w:rsidRPr="00106CA9">
        <w:rPr>
          <w:rFonts w:ascii="Verdana" w:hAnsi="Verdana"/>
          <w:b/>
          <w:sz w:val="20"/>
          <w:szCs w:val="20"/>
        </w:rPr>
        <w:lastRenderedPageBreak/>
        <w:t>Pagamentos</w:t>
      </w:r>
    </w:p>
    <w:p w:rsidR="000636C1" w:rsidRDefault="009B6FA5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Georgia"/>
          <w:iCs/>
          <w:sz w:val="20"/>
          <w:szCs w:val="20"/>
        </w:rPr>
      </w:pPr>
      <w:r w:rsidRPr="00106CA9">
        <w:rPr>
          <w:rFonts w:ascii="Verdana" w:hAnsi="Verdana" w:cs="Georgia"/>
          <w:iCs/>
          <w:sz w:val="20"/>
          <w:szCs w:val="20"/>
        </w:rPr>
        <w:t>Os pagamentos de todos os títulos da SP Turismo são realizados de diferentes formas para os tipos destacados abaixo: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 w:cs="Georgia"/>
          <w:iCs/>
          <w:sz w:val="20"/>
          <w:szCs w:val="20"/>
        </w:rPr>
      </w:pPr>
    </w:p>
    <w:p w:rsidR="00F85DAA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Folha de Pagamento</w:t>
      </w:r>
    </w:p>
    <w:p w:rsidR="00830DFE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conferir o recebimento do arquivo eletrônico e físico prepara</w:t>
      </w:r>
      <w:r w:rsidR="00CC3B83" w:rsidRPr="00EF2E79">
        <w:rPr>
          <w:rFonts w:ascii="Verdana" w:hAnsi="Verdana"/>
          <w:sz w:val="20"/>
          <w:szCs w:val="20"/>
        </w:rPr>
        <w:t>do pela GRH (Gerência de Recursos Humanos)</w:t>
      </w:r>
      <w:r w:rsidRPr="00EF2E79">
        <w:rPr>
          <w:rFonts w:ascii="Verdana" w:hAnsi="Verdana"/>
          <w:sz w:val="20"/>
          <w:szCs w:val="20"/>
        </w:rPr>
        <w:t xml:space="preserve"> para a folha de pagamento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F85DAA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conferir se a cópia impressa está </w:t>
      </w:r>
      <w:r w:rsidR="00CC3B83" w:rsidRPr="00EF2E79">
        <w:rPr>
          <w:rFonts w:ascii="Verdana" w:hAnsi="Verdana"/>
          <w:sz w:val="20"/>
          <w:szCs w:val="20"/>
        </w:rPr>
        <w:t>devidamente assinada pelo Gerente</w:t>
      </w:r>
      <w:r w:rsidRPr="00EF2E79">
        <w:rPr>
          <w:rFonts w:ascii="Verdana" w:hAnsi="Verdana"/>
          <w:sz w:val="20"/>
          <w:szCs w:val="20"/>
        </w:rPr>
        <w:t xml:space="preserve"> de Recursos Humanos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F85DAA" w:rsidRPr="00EF2E7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recolher as </w:t>
      </w:r>
      <w:r w:rsidR="00CC3B83" w:rsidRPr="00EF2E79">
        <w:rPr>
          <w:rFonts w:ascii="Verdana" w:hAnsi="Verdana"/>
          <w:sz w:val="20"/>
          <w:szCs w:val="20"/>
        </w:rPr>
        <w:t>aprovações impressas do Ge</w:t>
      </w:r>
      <w:r w:rsidR="0034144B" w:rsidRPr="00EF2E79">
        <w:rPr>
          <w:rFonts w:ascii="Verdana" w:hAnsi="Verdana"/>
          <w:sz w:val="20"/>
          <w:szCs w:val="20"/>
        </w:rPr>
        <w:t>rente de Con</w:t>
      </w:r>
      <w:r w:rsidR="00733A99" w:rsidRPr="00EF2E79">
        <w:rPr>
          <w:rFonts w:ascii="Verdana" w:hAnsi="Verdana"/>
          <w:sz w:val="20"/>
          <w:szCs w:val="20"/>
        </w:rPr>
        <w:t>troladoria</w:t>
      </w:r>
      <w:r w:rsidR="00CC3B83" w:rsidRPr="00EF2E79">
        <w:rPr>
          <w:rFonts w:ascii="Verdana" w:hAnsi="Verdana"/>
          <w:sz w:val="20"/>
          <w:szCs w:val="20"/>
        </w:rPr>
        <w:t xml:space="preserve"> </w:t>
      </w:r>
      <w:r w:rsidRPr="00EF2E79">
        <w:rPr>
          <w:rFonts w:ascii="Verdana" w:hAnsi="Verdana"/>
          <w:sz w:val="20"/>
          <w:szCs w:val="20"/>
        </w:rPr>
        <w:t xml:space="preserve">e Diretor </w:t>
      </w:r>
      <w:r w:rsidR="00CC3B83" w:rsidRPr="00EF2E79">
        <w:rPr>
          <w:rFonts w:ascii="Verdana" w:hAnsi="Verdana"/>
          <w:sz w:val="20"/>
          <w:szCs w:val="20"/>
        </w:rPr>
        <w:t>Administrativo-</w:t>
      </w:r>
      <w:r w:rsidRPr="00EF2E79">
        <w:rPr>
          <w:rFonts w:ascii="Verdana" w:hAnsi="Verdana"/>
          <w:sz w:val="20"/>
          <w:szCs w:val="20"/>
        </w:rPr>
        <w:t>Financeiro</w:t>
      </w:r>
      <w:r w:rsidR="00733A99" w:rsidRPr="00EF2E79">
        <w:rPr>
          <w:rFonts w:ascii="Verdana" w:hAnsi="Verdana"/>
          <w:sz w:val="20"/>
          <w:szCs w:val="20"/>
        </w:rPr>
        <w:t xml:space="preserve"> e de Relação com Investidores</w:t>
      </w:r>
      <w:r w:rsidRPr="00EF2E79">
        <w:rPr>
          <w:rFonts w:ascii="Verdana" w:hAnsi="Verdana"/>
          <w:sz w:val="20"/>
          <w:szCs w:val="20"/>
        </w:rPr>
        <w:t xml:space="preserve"> e enviar as aprovações para o banco para que o pagamento seja realizado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0636C1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12978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Pagamentos via TED (</w:t>
      </w:r>
      <w:r w:rsidRPr="00EF2E79">
        <w:rPr>
          <w:rFonts w:ascii="Verdana" w:hAnsi="Verdana"/>
          <w:b/>
          <w:sz w:val="20"/>
          <w:szCs w:val="20"/>
          <w:shd w:val="clear" w:color="auto" w:fill="FFFFFF"/>
        </w:rPr>
        <w:t>Transferência Eletrônica Disponível)</w:t>
      </w:r>
    </w:p>
    <w:p w:rsidR="00595224" w:rsidRPr="00106CA9" w:rsidRDefault="00F06E47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 processos de conferência de títulos devem ser conferidos por todos os envolvidos no processo</w:t>
      </w:r>
      <w:r w:rsidR="009B6FA5" w:rsidRPr="00EF2E7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diariamente,</w:t>
      </w:r>
      <w:r w:rsidR="00987E1E">
        <w:rPr>
          <w:rFonts w:ascii="Verdana" w:hAnsi="Verdana"/>
          <w:sz w:val="20"/>
          <w:szCs w:val="20"/>
        </w:rPr>
        <w:t xml:space="preserve"> incluindo também a área</w:t>
      </w:r>
      <w:r>
        <w:rPr>
          <w:rFonts w:ascii="Verdana" w:hAnsi="Verdana"/>
          <w:sz w:val="20"/>
          <w:szCs w:val="20"/>
        </w:rPr>
        <w:t xml:space="preserve"> Contas a Pagar. Devem conferir as</w:t>
      </w:r>
      <w:r w:rsidR="009B6FA5" w:rsidRPr="00EF2E79">
        <w:rPr>
          <w:rFonts w:ascii="Verdana" w:hAnsi="Verdana"/>
          <w:sz w:val="20"/>
          <w:szCs w:val="20"/>
        </w:rPr>
        <w:t xml:space="preserve"> informações da Nota Fiscal e o título no sistema, com o objetivo de assegurar que o título criado está de a</w:t>
      </w:r>
      <w:r>
        <w:rPr>
          <w:rFonts w:ascii="Verdana" w:hAnsi="Verdana"/>
          <w:sz w:val="20"/>
          <w:szCs w:val="20"/>
        </w:rPr>
        <w:t>cordo com a Nota Fiscal emitida.</w:t>
      </w:r>
    </w:p>
    <w:p w:rsidR="00C12978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conferir os pagamentos via TED, os quais são recebidos via borderô, e devem conter as devidas assinaturas físicas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C12978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acessar o aplicativo do BB (Banco do Brasil) e inserir os títulos para pagamento, manualmente</w:t>
      </w:r>
      <w:r w:rsidR="00CC3B83" w:rsidRPr="00EF2E79">
        <w:rPr>
          <w:rFonts w:ascii="Verdana" w:hAnsi="Verdana"/>
          <w:sz w:val="20"/>
          <w:szCs w:val="20"/>
        </w:rPr>
        <w:t>,</w:t>
      </w:r>
      <w:r w:rsidRPr="00EF2E79">
        <w:rPr>
          <w:rFonts w:ascii="Verdana" w:hAnsi="Verdana"/>
          <w:sz w:val="20"/>
          <w:szCs w:val="20"/>
        </w:rPr>
        <w:t xml:space="preserve"> e título a título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C12978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Posteriormente, o arquivo eletrônico com a relação de pagamentos deve </w:t>
      </w:r>
      <w:r w:rsidR="00CC3B83" w:rsidRPr="00EF2E79">
        <w:rPr>
          <w:rFonts w:ascii="Verdana" w:hAnsi="Verdana"/>
          <w:sz w:val="20"/>
          <w:szCs w:val="20"/>
        </w:rPr>
        <w:t>ser gerado e apresentado ao Gerente</w:t>
      </w:r>
      <w:r w:rsidR="0034144B" w:rsidRPr="00EF2E79">
        <w:rPr>
          <w:rFonts w:ascii="Verdana" w:hAnsi="Verdana"/>
          <w:sz w:val="20"/>
          <w:szCs w:val="20"/>
        </w:rPr>
        <w:t xml:space="preserve"> de C</w:t>
      </w:r>
      <w:r w:rsidR="00733A99" w:rsidRPr="00EF2E79">
        <w:rPr>
          <w:rFonts w:ascii="Verdana" w:hAnsi="Verdana"/>
          <w:sz w:val="20"/>
          <w:szCs w:val="20"/>
        </w:rPr>
        <w:t>ontroladoria</w:t>
      </w:r>
      <w:r w:rsidR="00CC3B83" w:rsidRPr="00EF2E79">
        <w:rPr>
          <w:rFonts w:ascii="Verdana" w:hAnsi="Verdana"/>
          <w:sz w:val="20"/>
          <w:szCs w:val="20"/>
        </w:rPr>
        <w:t xml:space="preserve"> e Diretor Administrativo-</w:t>
      </w:r>
      <w:r w:rsidRPr="00EF2E79">
        <w:rPr>
          <w:rFonts w:ascii="Verdana" w:hAnsi="Verdana"/>
          <w:sz w:val="20"/>
          <w:szCs w:val="20"/>
        </w:rPr>
        <w:t>Financeira</w:t>
      </w:r>
      <w:r w:rsidR="00733A99" w:rsidRPr="00EF2E79">
        <w:rPr>
          <w:rFonts w:ascii="Verdana" w:hAnsi="Verdana"/>
          <w:sz w:val="20"/>
          <w:szCs w:val="20"/>
        </w:rPr>
        <w:t xml:space="preserve"> e de Relação com Investidores</w:t>
      </w:r>
      <w:r w:rsidR="0034144B" w:rsidRPr="00EF2E79">
        <w:rPr>
          <w:rFonts w:ascii="Verdana" w:hAnsi="Verdana"/>
          <w:sz w:val="20"/>
          <w:szCs w:val="20"/>
        </w:rPr>
        <w:t>,</w:t>
      </w:r>
      <w:r w:rsidRPr="00EF2E79">
        <w:rPr>
          <w:rFonts w:ascii="Verdana" w:hAnsi="Verdana"/>
          <w:sz w:val="20"/>
          <w:szCs w:val="20"/>
        </w:rPr>
        <w:t xml:space="preserve"> para a liberação e aprovação dos pagamentos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A32EE3" w:rsidRPr="00EF2E79" w:rsidRDefault="00047460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CFI (Tesouraria) </w:t>
      </w:r>
      <w:r w:rsidR="009B6FA5" w:rsidRPr="00EF2E79">
        <w:rPr>
          <w:rFonts w:ascii="Verdana" w:hAnsi="Verdana"/>
          <w:sz w:val="20"/>
          <w:szCs w:val="20"/>
        </w:rPr>
        <w:t>deve enviar ao banco o arquivo eletrônico junto as assinatu</w:t>
      </w:r>
      <w:r w:rsidR="00CC3B83" w:rsidRPr="00EF2E79">
        <w:rPr>
          <w:rFonts w:ascii="Verdana" w:hAnsi="Verdana"/>
          <w:sz w:val="20"/>
          <w:szCs w:val="20"/>
        </w:rPr>
        <w:t>ras do Gerente</w:t>
      </w:r>
      <w:r w:rsidR="00733A99" w:rsidRPr="00EF2E79">
        <w:rPr>
          <w:rFonts w:ascii="Verdana" w:hAnsi="Verdana"/>
          <w:sz w:val="20"/>
          <w:szCs w:val="20"/>
        </w:rPr>
        <w:t xml:space="preserve"> de Controladoria</w:t>
      </w:r>
      <w:r w:rsidR="00CC3B83" w:rsidRPr="00EF2E79">
        <w:rPr>
          <w:rFonts w:ascii="Verdana" w:hAnsi="Verdana"/>
          <w:sz w:val="20"/>
          <w:szCs w:val="20"/>
        </w:rPr>
        <w:t xml:space="preserve"> e Diretor Administrativo-</w:t>
      </w:r>
      <w:r w:rsidR="009B6FA5" w:rsidRPr="00EF2E79">
        <w:rPr>
          <w:rFonts w:ascii="Verdana" w:hAnsi="Verdana"/>
          <w:sz w:val="20"/>
          <w:szCs w:val="20"/>
        </w:rPr>
        <w:t>Financeira</w:t>
      </w:r>
      <w:r w:rsidR="0034144B" w:rsidRPr="00EF2E79">
        <w:rPr>
          <w:rFonts w:ascii="Verdana" w:hAnsi="Verdana"/>
          <w:sz w:val="20"/>
          <w:szCs w:val="20"/>
        </w:rPr>
        <w:t xml:space="preserve"> e de Relação com Investidores</w:t>
      </w:r>
      <w:r w:rsidR="009B6FA5" w:rsidRPr="00EF2E79">
        <w:rPr>
          <w:rFonts w:ascii="Verdana" w:hAnsi="Verdana"/>
          <w:sz w:val="20"/>
          <w:szCs w:val="20"/>
        </w:rPr>
        <w:t xml:space="preserve"> para que o pagamento seja realizado.</w:t>
      </w:r>
    </w:p>
    <w:p w:rsidR="000636C1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85DAA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  <w:shd w:val="clear" w:color="auto" w:fill="FFFFFF"/>
        </w:rPr>
        <w:t xml:space="preserve">Pagamentos via cheque </w:t>
      </w:r>
    </w:p>
    <w:p w:rsidR="00F85DAA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Os pagamentos realizados via cheque devem ser baixados automaticamente no momento da impressão do pagamento via sistema Protheus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F85DAA" w:rsidRPr="00EF2E7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conferir e revisar os dados do formulário de pagamento através da conferência dos dados da Nota Fiscal versus o sistema Protheus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F85DAA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85DAA" w:rsidRPr="00EF2E7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 deve recolher as aprovações do Gerente de Controladoria</w:t>
      </w:r>
      <w:r w:rsidRPr="00EF2E79">
        <w:rPr>
          <w:rFonts w:ascii="Verdana" w:hAnsi="Verdana"/>
          <w:sz w:val="20"/>
          <w:szCs w:val="20"/>
        </w:rPr>
        <w:t xml:space="preserve"> e Diretor</w:t>
      </w:r>
      <w:r w:rsidR="00CC3B83" w:rsidRPr="00EF2E79">
        <w:rPr>
          <w:rFonts w:ascii="Verdana" w:hAnsi="Verdana"/>
          <w:sz w:val="20"/>
          <w:szCs w:val="20"/>
        </w:rPr>
        <w:t xml:space="preserve"> Administrativo-</w:t>
      </w:r>
      <w:r w:rsidRPr="00EF2E79">
        <w:rPr>
          <w:rFonts w:ascii="Verdana" w:hAnsi="Verdana"/>
          <w:sz w:val="20"/>
          <w:szCs w:val="20"/>
        </w:rPr>
        <w:t>Financeiro</w:t>
      </w:r>
      <w:r w:rsidR="00047460" w:rsidRPr="00EF2E79">
        <w:rPr>
          <w:rFonts w:ascii="Verdana" w:hAnsi="Verdana"/>
          <w:sz w:val="20"/>
          <w:szCs w:val="20"/>
        </w:rPr>
        <w:t xml:space="preserve"> e de Relação com Investidores</w:t>
      </w:r>
      <w:r w:rsidRPr="00EF2E79">
        <w:rPr>
          <w:rFonts w:ascii="Verdana" w:hAnsi="Verdana"/>
          <w:sz w:val="20"/>
          <w:szCs w:val="20"/>
        </w:rPr>
        <w:t xml:space="preserve"> e enviar essas para que o banco realize o pagamento.</w:t>
      </w:r>
    </w:p>
    <w:p w:rsidR="000636C1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66036" w:rsidRPr="00106CA9" w:rsidRDefault="009B6FA5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 xml:space="preserve">Recebimentos </w:t>
      </w:r>
    </w:p>
    <w:p w:rsidR="00C66036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extrair, diariamente, os comprovantes de recebimento bancário do site do banco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C66036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anexar aos respectivos documentos recebidos a via física do comprovante de recebimento</w:t>
      </w:r>
      <w:r w:rsidR="00E36E5A" w:rsidRPr="00EF2E79">
        <w:rPr>
          <w:rFonts w:ascii="Verdana" w:hAnsi="Verdana"/>
          <w:sz w:val="20"/>
          <w:szCs w:val="20"/>
        </w:rPr>
        <w:t>.</w:t>
      </w:r>
      <w:r w:rsidRPr="00EF2E79">
        <w:rPr>
          <w:rFonts w:ascii="Verdana" w:hAnsi="Verdana"/>
          <w:sz w:val="20"/>
          <w:szCs w:val="20"/>
        </w:rPr>
        <w:t xml:space="preserve"> </w:t>
      </w:r>
    </w:p>
    <w:p w:rsidR="00C66036" w:rsidRPr="00EF2E79" w:rsidRDefault="00047460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A CFI (Tesouraria)</w:t>
      </w:r>
      <w:r w:rsidR="009B6FA5" w:rsidRPr="00EF2E79">
        <w:rPr>
          <w:rFonts w:ascii="Verdana" w:hAnsi="Verdana"/>
          <w:sz w:val="20"/>
          <w:szCs w:val="20"/>
        </w:rPr>
        <w:t xml:space="preserve"> deve enviar para a </w:t>
      </w:r>
      <w:r w:rsidR="0034144B" w:rsidRPr="00EF2E79">
        <w:rPr>
          <w:rFonts w:ascii="Verdana" w:hAnsi="Verdana"/>
          <w:sz w:val="20"/>
          <w:szCs w:val="20"/>
        </w:rPr>
        <w:t>CFI (Contas a Receber)</w:t>
      </w:r>
      <w:r w:rsidR="009B6FA5" w:rsidRPr="00EF2E79">
        <w:rPr>
          <w:rFonts w:ascii="Verdana" w:hAnsi="Verdana"/>
          <w:sz w:val="20"/>
          <w:szCs w:val="20"/>
        </w:rPr>
        <w:t xml:space="preserve"> os títulos recebidos e processados para que estes sejam baixados no sistema Protheus e de acordo com as baixas realizadas no extrato bancário.</w:t>
      </w:r>
    </w:p>
    <w:p w:rsidR="00C66036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06CA9" w:rsidRPr="00106CA9" w:rsidRDefault="00733A99" w:rsidP="00D46ED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06CA9">
        <w:rPr>
          <w:rFonts w:ascii="Verdana" w:hAnsi="Verdana"/>
          <w:b/>
          <w:sz w:val="20"/>
          <w:szCs w:val="20"/>
        </w:rPr>
        <w:t>“</w:t>
      </w:r>
      <w:r w:rsidR="009B6FA5" w:rsidRPr="00106CA9">
        <w:rPr>
          <w:rFonts w:ascii="Verdana" w:hAnsi="Verdana"/>
          <w:b/>
          <w:sz w:val="20"/>
          <w:szCs w:val="20"/>
        </w:rPr>
        <w:t>Caixinha</w:t>
      </w:r>
      <w:r w:rsidRPr="00106CA9">
        <w:rPr>
          <w:rFonts w:ascii="Verdana" w:hAnsi="Verdana"/>
          <w:b/>
          <w:sz w:val="20"/>
          <w:szCs w:val="20"/>
        </w:rPr>
        <w:t xml:space="preserve">” </w:t>
      </w:r>
    </w:p>
    <w:p w:rsidR="002F3693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06CA9">
        <w:rPr>
          <w:rFonts w:ascii="Verdana" w:hAnsi="Verdana"/>
          <w:sz w:val="20"/>
          <w:szCs w:val="20"/>
        </w:rPr>
        <w:t xml:space="preserve">Para o gerenciamento do </w:t>
      </w:r>
      <w:r w:rsidR="00E36E5A" w:rsidRPr="00106CA9">
        <w:rPr>
          <w:rFonts w:ascii="Verdana" w:hAnsi="Verdana"/>
          <w:sz w:val="20"/>
          <w:szCs w:val="20"/>
        </w:rPr>
        <w:t>“</w:t>
      </w:r>
      <w:r w:rsidRPr="00106CA9">
        <w:rPr>
          <w:rFonts w:ascii="Verdana" w:hAnsi="Verdana"/>
          <w:sz w:val="20"/>
          <w:szCs w:val="20"/>
        </w:rPr>
        <w:t>caixinha</w:t>
      </w:r>
      <w:r w:rsidR="00E36E5A" w:rsidRPr="00106CA9">
        <w:rPr>
          <w:rFonts w:ascii="Verdana" w:hAnsi="Verdana"/>
          <w:sz w:val="20"/>
          <w:szCs w:val="20"/>
        </w:rPr>
        <w:t>”</w:t>
      </w:r>
      <w:r w:rsidRPr="00106CA9">
        <w:rPr>
          <w:rFonts w:ascii="Verdana" w:hAnsi="Verdana"/>
          <w:sz w:val="20"/>
          <w:szCs w:val="20"/>
        </w:rPr>
        <w:t xml:space="preserve"> são utilizadas duas formas, sendo a modalidade de atualização do caixinha definida de acordo com a área e os tipos de gastos realizados.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A0C81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Vale Provisório</w:t>
      </w:r>
    </w:p>
    <w:p w:rsidR="0039267B" w:rsidRPr="00106CA9" w:rsidRDefault="00047460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A CFI (Tesouraria)</w:t>
      </w:r>
      <w:r w:rsidR="009B6FA5" w:rsidRPr="00EF2E79">
        <w:rPr>
          <w:rFonts w:ascii="Verdana" w:hAnsi="Verdana"/>
          <w:sz w:val="20"/>
          <w:szCs w:val="20"/>
        </w:rPr>
        <w:t xml:space="preserve"> deve receber e conferir o formulário padrão com aprovação do Gerente responsável da área requisitante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39267B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Com o formulário adequadamente preenchido e aprovado pelo Gerente da área requisitante</w:t>
      </w:r>
      <w:r w:rsidR="00965344" w:rsidRPr="00EF2E79">
        <w:rPr>
          <w:rFonts w:ascii="Verdana" w:hAnsi="Verdana"/>
          <w:sz w:val="20"/>
          <w:szCs w:val="20"/>
        </w:rPr>
        <w:t>,</w:t>
      </w:r>
      <w:r w:rsidRPr="00EF2E79">
        <w:rPr>
          <w:rFonts w:ascii="Verdana" w:hAnsi="Verdana"/>
          <w:sz w:val="20"/>
          <w:szCs w:val="20"/>
        </w:rPr>
        <w:t xml:space="preserve"> o dinheiro deve ser entregue ao requisitante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39267B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As informações da requisição devem ser </w:t>
      </w:r>
      <w:r w:rsidR="00965344" w:rsidRPr="00EF2E79">
        <w:rPr>
          <w:rFonts w:ascii="Verdana" w:hAnsi="Verdana"/>
          <w:sz w:val="20"/>
          <w:szCs w:val="20"/>
        </w:rPr>
        <w:t>inseridas pela CFI (Tesouraria)</w:t>
      </w:r>
      <w:r w:rsidRPr="00EF2E79">
        <w:rPr>
          <w:rFonts w:ascii="Verdana" w:hAnsi="Verdana"/>
          <w:sz w:val="20"/>
          <w:szCs w:val="20"/>
        </w:rPr>
        <w:t xml:space="preserve"> em pla</w:t>
      </w:r>
      <w:r w:rsidR="00965344" w:rsidRPr="00EF2E79">
        <w:rPr>
          <w:rFonts w:ascii="Verdana" w:hAnsi="Verdana"/>
          <w:sz w:val="20"/>
          <w:szCs w:val="20"/>
        </w:rPr>
        <w:t>nilha de Excel para controle da</w:t>
      </w:r>
      <w:r w:rsidRPr="00EF2E79">
        <w:rPr>
          <w:rFonts w:ascii="Verdana" w:hAnsi="Verdana"/>
          <w:sz w:val="20"/>
          <w:szCs w:val="20"/>
        </w:rPr>
        <w:t xml:space="preserve">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39267B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Após a utilização do dinheiro, o requisitante deve apresentar o documento fiscal vinculado à atividade da SP Turismo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E22F4B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receber os documentos fiscais e conferir com o valor solicitado via formulário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E22F4B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Após o recebimento dos comprovantes, 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inserir no sistema Protheus, módulo "movimento de caixinha", as informações das movimentações realizadas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E22F4B" w:rsidRPr="00EF2E79" w:rsidRDefault="0034144B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A CFI (Tesouraria)</w:t>
      </w:r>
      <w:r w:rsidR="009B6FA5" w:rsidRPr="00EF2E79">
        <w:rPr>
          <w:rFonts w:ascii="Verdana" w:hAnsi="Verdana"/>
          <w:sz w:val="20"/>
          <w:szCs w:val="20"/>
        </w:rPr>
        <w:t xml:space="preserve"> deve extrair um relatório para so</w:t>
      </w:r>
      <w:r w:rsidR="00E36E5A" w:rsidRPr="00EF2E79">
        <w:rPr>
          <w:rFonts w:ascii="Verdana" w:hAnsi="Verdana"/>
          <w:sz w:val="20"/>
          <w:szCs w:val="20"/>
        </w:rPr>
        <w:t>licitação do reembolso, anexar à</w:t>
      </w:r>
      <w:r w:rsidR="009B6FA5" w:rsidRPr="00EF2E79">
        <w:rPr>
          <w:rFonts w:ascii="Verdana" w:hAnsi="Verdana"/>
          <w:sz w:val="20"/>
          <w:szCs w:val="20"/>
        </w:rPr>
        <w:t>s prestações de contas e e</w:t>
      </w:r>
      <w:r w:rsidR="00E36E5A" w:rsidRPr="00EF2E79">
        <w:rPr>
          <w:rFonts w:ascii="Verdana" w:hAnsi="Verdana"/>
          <w:sz w:val="20"/>
          <w:szCs w:val="20"/>
        </w:rPr>
        <w:t xml:space="preserve">nviar para aprovação do </w:t>
      </w:r>
      <w:r w:rsidR="00047460" w:rsidRPr="00EF2E79">
        <w:rPr>
          <w:rFonts w:ascii="Verdana" w:hAnsi="Verdana"/>
          <w:sz w:val="20"/>
          <w:szCs w:val="20"/>
        </w:rPr>
        <w:t>Gerente de Controladoria</w:t>
      </w:r>
      <w:r w:rsidR="00E36E5A" w:rsidRPr="00EF2E79">
        <w:rPr>
          <w:rFonts w:ascii="Verdana" w:hAnsi="Verdana"/>
          <w:sz w:val="20"/>
          <w:szCs w:val="20"/>
        </w:rPr>
        <w:t xml:space="preserve"> </w:t>
      </w:r>
      <w:r w:rsidR="009B6FA5" w:rsidRPr="00EF2E79">
        <w:rPr>
          <w:rFonts w:ascii="Verdana" w:hAnsi="Verdana"/>
          <w:sz w:val="20"/>
          <w:szCs w:val="20"/>
        </w:rPr>
        <w:t>e do Diretor</w:t>
      </w:r>
      <w:r w:rsidR="00E36E5A" w:rsidRPr="00EF2E79">
        <w:rPr>
          <w:rFonts w:ascii="Verdana" w:hAnsi="Verdana"/>
          <w:sz w:val="20"/>
          <w:szCs w:val="20"/>
        </w:rPr>
        <w:t xml:space="preserve"> Administrativo-</w:t>
      </w:r>
      <w:r w:rsidR="009B6FA5" w:rsidRPr="00EF2E79">
        <w:rPr>
          <w:rFonts w:ascii="Verdana" w:hAnsi="Verdana"/>
          <w:sz w:val="20"/>
          <w:szCs w:val="20"/>
        </w:rPr>
        <w:t>Financeiro</w:t>
      </w:r>
      <w:r w:rsidRPr="00EF2E79">
        <w:rPr>
          <w:rFonts w:ascii="Verdana" w:hAnsi="Verdana"/>
          <w:sz w:val="20"/>
          <w:szCs w:val="20"/>
        </w:rPr>
        <w:t xml:space="preserve"> e de Relação com Investidores</w:t>
      </w:r>
      <w:r w:rsidR="009B6FA5" w:rsidRPr="00EF2E79">
        <w:rPr>
          <w:rFonts w:ascii="Verdana" w:hAnsi="Verdana"/>
          <w:sz w:val="20"/>
          <w:szCs w:val="20"/>
        </w:rPr>
        <w:t>.</w:t>
      </w:r>
    </w:p>
    <w:p w:rsidR="002F3693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9267B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 w:cs="Georgia"/>
          <w:b/>
          <w:iCs/>
          <w:sz w:val="20"/>
          <w:szCs w:val="20"/>
        </w:rPr>
        <w:t>Reembolso da nota de despesa</w:t>
      </w:r>
    </w:p>
    <w:p w:rsidR="0039267B" w:rsidRPr="00106CA9" w:rsidRDefault="0034144B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CFI (Tesouraria) </w:t>
      </w:r>
      <w:r w:rsidR="009B6FA5" w:rsidRPr="00EF2E79">
        <w:rPr>
          <w:rFonts w:ascii="Verdana" w:hAnsi="Verdana"/>
          <w:sz w:val="20"/>
          <w:szCs w:val="20"/>
        </w:rPr>
        <w:t>deve realizar a conferência da requisição de reembolso mediante apresentação do formulário padrão</w:t>
      </w:r>
      <w:r w:rsidR="00965344" w:rsidRPr="00EF2E79">
        <w:rPr>
          <w:rFonts w:ascii="Verdana" w:hAnsi="Verdana"/>
          <w:sz w:val="20"/>
          <w:szCs w:val="20"/>
        </w:rPr>
        <w:t xml:space="preserve"> de nota de despesa para reembolso via Excel</w:t>
      </w:r>
      <w:r w:rsidR="00733A99" w:rsidRPr="00EF2E79">
        <w:rPr>
          <w:rFonts w:ascii="Verdana" w:hAnsi="Verdana"/>
          <w:sz w:val="20"/>
          <w:szCs w:val="20"/>
        </w:rPr>
        <w:t xml:space="preserve"> e a Nota F</w:t>
      </w:r>
      <w:r w:rsidR="009B6FA5" w:rsidRPr="00EF2E79">
        <w:rPr>
          <w:rFonts w:ascii="Verdana" w:hAnsi="Verdana"/>
          <w:sz w:val="20"/>
          <w:szCs w:val="20"/>
        </w:rPr>
        <w:t>iscal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EC21F3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Caso os documentos supracitados estejam adequados, o reembolso do valor gasto em atividades vinculadas à SP Turismo deve ser realizado ao requisitante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39267B" w:rsidRPr="00106CA9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Após o recebimento dos comprovantes, 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inserir no sistema Protheus, módulo "movimento de caixinha", as informações das movimentações realizadas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E22F4B" w:rsidRPr="00106CA9" w:rsidRDefault="00047460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A CFI (Tesouraria)</w:t>
      </w:r>
      <w:r w:rsidR="009B6FA5" w:rsidRPr="00EF2E79">
        <w:rPr>
          <w:rFonts w:ascii="Verdana" w:hAnsi="Verdana"/>
          <w:sz w:val="20"/>
          <w:szCs w:val="20"/>
        </w:rPr>
        <w:t xml:space="preserve"> deve extrair um relatório para so</w:t>
      </w:r>
      <w:r w:rsidR="00E36E5A" w:rsidRPr="00EF2E79">
        <w:rPr>
          <w:rFonts w:ascii="Verdana" w:hAnsi="Verdana"/>
          <w:sz w:val="20"/>
          <w:szCs w:val="20"/>
        </w:rPr>
        <w:t>licitação do reembolso, anexar à</w:t>
      </w:r>
      <w:r w:rsidR="009B6FA5" w:rsidRPr="00EF2E79">
        <w:rPr>
          <w:rFonts w:ascii="Verdana" w:hAnsi="Verdana"/>
          <w:sz w:val="20"/>
          <w:szCs w:val="20"/>
        </w:rPr>
        <w:t>s prestações de contas e enviar para aprovação do Gerente</w:t>
      </w:r>
      <w:r w:rsidRPr="00EF2E79">
        <w:rPr>
          <w:rFonts w:ascii="Verdana" w:hAnsi="Verdana"/>
          <w:sz w:val="20"/>
          <w:szCs w:val="20"/>
        </w:rPr>
        <w:t xml:space="preserve"> de Controladoria</w:t>
      </w:r>
      <w:r w:rsidR="009B6FA5" w:rsidRPr="00EF2E79">
        <w:rPr>
          <w:rFonts w:ascii="Verdana" w:hAnsi="Verdana"/>
          <w:sz w:val="20"/>
          <w:szCs w:val="20"/>
        </w:rPr>
        <w:t xml:space="preserve"> e do Diretor</w:t>
      </w:r>
      <w:r w:rsidR="00E36E5A" w:rsidRPr="00EF2E79">
        <w:rPr>
          <w:rFonts w:ascii="Verdana" w:hAnsi="Verdana"/>
          <w:sz w:val="20"/>
          <w:szCs w:val="20"/>
        </w:rPr>
        <w:t xml:space="preserve"> Administrativo-</w:t>
      </w:r>
      <w:r w:rsidR="009B6FA5" w:rsidRPr="00EF2E79">
        <w:rPr>
          <w:rFonts w:ascii="Verdana" w:hAnsi="Verdana"/>
          <w:sz w:val="20"/>
          <w:szCs w:val="20"/>
        </w:rPr>
        <w:t>Financeiro</w:t>
      </w:r>
      <w:r w:rsidRPr="00EF2E79">
        <w:rPr>
          <w:rFonts w:ascii="Verdana" w:hAnsi="Verdana"/>
          <w:sz w:val="20"/>
          <w:szCs w:val="20"/>
        </w:rPr>
        <w:t xml:space="preserve"> e de Relação com Investidores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7F66AE" w:rsidRDefault="009B6FA5" w:rsidP="00106CA9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Quando houver o dispêndio do caixinha e houver a necessidade de reposição através de cheques, 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Pr="00EF2E79">
        <w:rPr>
          <w:rFonts w:ascii="Verdana" w:hAnsi="Verdana"/>
          <w:sz w:val="20"/>
          <w:szCs w:val="20"/>
        </w:rPr>
        <w:t xml:space="preserve"> deve preencher o chequ</w:t>
      </w:r>
      <w:r w:rsidR="00E36E5A" w:rsidRPr="00EF2E79">
        <w:rPr>
          <w:rFonts w:ascii="Verdana" w:hAnsi="Verdana"/>
          <w:sz w:val="20"/>
          <w:szCs w:val="20"/>
        </w:rPr>
        <w:t xml:space="preserve">e e requisitar ao </w:t>
      </w:r>
      <w:r w:rsidR="00047460" w:rsidRPr="00EF2E79">
        <w:rPr>
          <w:rFonts w:ascii="Verdana" w:hAnsi="Verdana"/>
          <w:sz w:val="20"/>
          <w:szCs w:val="20"/>
        </w:rPr>
        <w:t>Gerente de Controladoria</w:t>
      </w:r>
      <w:r w:rsidR="00E36E5A" w:rsidRPr="00EF2E79">
        <w:rPr>
          <w:rFonts w:ascii="Verdana" w:hAnsi="Verdana"/>
          <w:sz w:val="20"/>
          <w:szCs w:val="20"/>
        </w:rPr>
        <w:t xml:space="preserve"> e ao D</w:t>
      </w:r>
      <w:r w:rsidRPr="00EF2E79">
        <w:rPr>
          <w:rFonts w:ascii="Verdana" w:hAnsi="Verdana"/>
          <w:sz w:val="20"/>
          <w:szCs w:val="20"/>
        </w:rPr>
        <w:t>iretor</w:t>
      </w:r>
      <w:r w:rsidR="00E36E5A" w:rsidRPr="00EF2E79">
        <w:rPr>
          <w:rFonts w:ascii="Verdana" w:hAnsi="Verdana"/>
          <w:sz w:val="20"/>
          <w:szCs w:val="20"/>
        </w:rPr>
        <w:t xml:space="preserve"> Administrativo-</w:t>
      </w:r>
      <w:r w:rsidRPr="00EF2E79">
        <w:rPr>
          <w:rFonts w:ascii="Verdana" w:hAnsi="Verdana"/>
          <w:sz w:val="20"/>
          <w:szCs w:val="20"/>
        </w:rPr>
        <w:t>financeiro</w:t>
      </w:r>
      <w:r w:rsidR="00047460" w:rsidRPr="00EF2E79">
        <w:rPr>
          <w:rFonts w:ascii="Verdana" w:hAnsi="Verdana"/>
          <w:sz w:val="20"/>
          <w:szCs w:val="20"/>
        </w:rPr>
        <w:t xml:space="preserve"> e de Relação com Investidores</w:t>
      </w:r>
      <w:r w:rsidRPr="00EF2E79">
        <w:rPr>
          <w:rFonts w:ascii="Verdana" w:hAnsi="Verdana"/>
          <w:sz w:val="20"/>
          <w:szCs w:val="20"/>
        </w:rPr>
        <w:t xml:space="preserve"> a aprovação e assinatura para liberar o cheque ao responsável da caixinha, da área solicitante.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7F66AE" w:rsidRPr="00106CA9" w:rsidRDefault="009B6FA5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Fluxo de Caixa</w:t>
      </w:r>
    </w:p>
    <w:p w:rsidR="00402F31" w:rsidRPr="00106CA9" w:rsidRDefault="00E2368B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>A áreas da GDC</w:t>
      </w:r>
      <w:r w:rsidR="007A2266">
        <w:rPr>
          <w:rFonts w:ascii="Verdana" w:hAnsi="Verdana"/>
          <w:sz w:val="20"/>
          <w:szCs w:val="20"/>
        </w:rPr>
        <w:t xml:space="preserve"> (Gerência de Controladoria)</w:t>
      </w:r>
      <w:r w:rsidR="009B6FA5" w:rsidRPr="00EF2E79">
        <w:rPr>
          <w:rFonts w:ascii="Verdana" w:hAnsi="Verdana"/>
          <w:sz w:val="20"/>
          <w:szCs w:val="20"/>
        </w:rPr>
        <w:t xml:space="preserve"> devem consolidar suas informações financeiras e preencher a planilha em Excel disponível na rede compartilhada</w:t>
      </w:r>
      <w:r w:rsidR="00E36E5A" w:rsidRPr="00EF2E79">
        <w:rPr>
          <w:rFonts w:ascii="Verdana" w:hAnsi="Verdana"/>
          <w:sz w:val="20"/>
          <w:szCs w:val="20"/>
        </w:rPr>
        <w:t>.</w:t>
      </w:r>
    </w:p>
    <w:p w:rsidR="00402F31" w:rsidRPr="00106CA9" w:rsidRDefault="009B6FA5" w:rsidP="00106CA9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 </w:t>
      </w:r>
      <w:r w:rsidR="0034144B" w:rsidRPr="00EF2E79">
        <w:rPr>
          <w:rFonts w:ascii="Verdana" w:hAnsi="Verdana"/>
          <w:sz w:val="20"/>
          <w:szCs w:val="20"/>
        </w:rPr>
        <w:t>CFI (Tesouraria)</w:t>
      </w:r>
      <w:r w:rsidR="00E36E5A" w:rsidRPr="00EF2E79">
        <w:rPr>
          <w:rFonts w:ascii="Verdana" w:hAnsi="Verdana"/>
          <w:sz w:val="20"/>
          <w:szCs w:val="20"/>
        </w:rPr>
        <w:t xml:space="preserve"> deve conferir se</w:t>
      </w:r>
      <w:r w:rsidRPr="00EF2E79">
        <w:rPr>
          <w:rFonts w:ascii="Verdana" w:hAnsi="Verdana"/>
          <w:sz w:val="20"/>
          <w:szCs w:val="20"/>
        </w:rPr>
        <w:t xml:space="preserve"> todas as áreas estão inserindo as entradas e saídas f</w:t>
      </w:r>
      <w:r w:rsidR="00987E1E">
        <w:rPr>
          <w:rFonts w:ascii="Verdana" w:hAnsi="Verdana"/>
          <w:sz w:val="20"/>
          <w:szCs w:val="20"/>
        </w:rPr>
        <w:t>inanceiras na planilha em Excel. É responsabilidade das áreas manter as informações da planilha Excel atualizada.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Penalidades</w:t>
      </w:r>
    </w:p>
    <w:p w:rsidR="006D19C1" w:rsidRPr="00EF2E79" w:rsidRDefault="009B6FA5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D56CA8">
        <w:rPr>
          <w:rFonts w:ascii="Verdana" w:hAnsi="Verdana"/>
          <w:b/>
          <w:sz w:val="20"/>
          <w:szCs w:val="20"/>
        </w:rPr>
        <w:t>NG GRH 07</w:t>
      </w:r>
      <w:r w:rsidRPr="00EF2E79">
        <w:rPr>
          <w:rFonts w:ascii="Verdana" w:hAnsi="Verdana"/>
          <w:b/>
          <w:sz w:val="20"/>
          <w:szCs w:val="20"/>
        </w:rPr>
        <w:t xml:space="preserve"> - Conduta Funcional</w:t>
      </w:r>
      <w:r w:rsidRPr="00EF2E79">
        <w:rPr>
          <w:rFonts w:ascii="Verdana" w:hAnsi="Verdana"/>
          <w:sz w:val="20"/>
          <w:szCs w:val="20"/>
        </w:rPr>
        <w:t>, no caso de descumprimento desta Norma.</w:t>
      </w:r>
    </w:p>
    <w:p w:rsidR="006D19C1" w:rsidRPr="00EF2E79" w:rsidRDefault="00E67CC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987E1E" w:rsidRDefault="009B6FA5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987E1E" w:rsidRDefault="00987E1E" w:rsidP="00987E1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987E1E" w:rsidRPr="00987E1E" w:rsidRDefault="00987E1E" w:rsidP="00987E1E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lastRenderedPageBreak/>
        <w:t>Anexos</w:t>
      </w:r>
    </w:p>
    <w:p w:rsidR="006D19C1" w:rsidRDefault="004A0AFE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t xml:space="preserve">ANEXO I – Nota </w:t>
      </w:r>
      <w:r w:rsidR="00EF2E79">
        <w:rPr>
          <w:rFonts w:ascii="Verdana" w:hAnsi="Verdana"/>
          <w:sz w:val="20"/>
          <w:szCs w:val="20"/>
        </w:rPr>
        <w:t>de Despesa</w:t>
      </w:r>
      <w:r w:rsidR="009B6FA5" w:rsidRPr="00EF2E79">
        <w:rPr>
          <w:rFonts w:ascii="Verdana" w:hAnsi="Verdana"/>
          <w:sz w:val="20"/>
          <w:szCs w:val="20"/>
        </w:rPr>
        <w:t>.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Revisões</w:t>
      </w:r>
    </w:p>
    <w:p w:rsidR="00793379" w:rsidRPr="00106CA9" w:rsidRDefault="009B6FA5" w:rsidP="00106CA9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13577A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13577A">
        <w:rPr>
          <w:rFonts w:ascii="Verdana" w:hAnsi="Verdana"/>
          <w:sz w:val="20"/>
          <w:szCs w:val="20"/>
        </w:rPr>
        <w:t>GDC (Gerência de Controladoria).</w:t>
      </w:r>
    </w:p>
    <w:p w:rsidR="00106CA9" w:rsidRPr="00106CA9" w:rsidRDefault="00106CA9" w:rsidP="00106CA9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106CA9" w:rsidRDefault="009B6FA5" w:rsidP="00106CA9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EF2E79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423"/>
        <w:gridCol w:w="2958"/>
      </w:tblGrid>
      <w:tr w:rsidR="006D19C1" w:rsidRPr="00EF2E79" w:rsidTr="00D56CA8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2E79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2E79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423" w:type="dxa"/>
            <w:vMerge w:val="restart"/>
            <w:shd w:val="clear" w:color="auto" w:fill="C0C0C0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2E79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8" w:type="dxa"/>
            <w:vMerge w:val="restart"/>
            <w:shd w:val="clear" w:color="auto" w:fill="C0C0C0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2E79">
              <w:rPr>
                <w:rFonts w:ascii="Verdana" w:hAnsi="Verdana"/>
                <w:b/>
                <w:sz w:val="20"/>
                <w:szCs w:val="20"/>
              </w:rPr>
              <w:t>Revisores/ Aprovadores</w:t>
            </w:r>
          </w:p>
        </w:tc>
      </w:tr>
      <w:tr w:rsidR="006D19C1" w:rsidRPr="00EF2E79" w:rsidTr="00D56CA8">
        <w:trPr>
          <w:trHeight w:val="184"/>
        </w:trPr>
        <w:tc>
          <w:tcPr>
            <w:tcW w:w="0" w:type="auto"/>
            <w:vMerge/>
          </w:tcPr>
          <w:p w:rsidR="007C6024" w:rsidRPr="00EF2E79" w:rsidRDefault="007C6024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F2E79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F2E79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7C6024" w:rsidRPr="00EF2E79" w:rsidRDefault="007C6024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7C6024" w:rsidRPr="00EF2E79" w:rsidRDefault="007C6024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EF2E79" w:rsidTr="00D56CA8">
        <w:trPr>
          <w:trHeight w:val="288"/>
        </w:trPr>
        <w:tc>
          <w:tcPr>
            <w:tcW w:w="1094" w:type="dxa"/>
            <w:vAlign w:val="center"/>
          </w:tcPr>
          <w:p w:rsidR="006D19C1" w:rsidRPr="00EF2E79" w:rsidRDefault="009B6FA5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F2E79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D19C1" w:rsidRPr="00EF2E79" w:rsidRDefault="00E67CC9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EF2E79" w:rsidRDefault="00E67CC9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3" w:type="dxa"/>
            <w:vAlign w:val="center"/>
          </w:tcPr>
          <w:p w:rsidR="006D19C1" w:rsidRPr="00EF2E79" w:rsidRDefault="00D56CA8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06F28" w:rsidRPr="00EF2E79" w:rsidRDefault="00733A99" w:rsidP="00D56CA8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EF2E79">
              <w:rPr>
                <w:rFonts w:ascii="Verdana" w:hAnsi="Verdana"/>
                <w:sz w:val="20"/>
                <w:szCs w:val="20"/>
              </w:rPr>
              <w:t>GDC</w:t>
            </w:r>
            <w:r w:rsidR="009B6FA5" w:rsidRPr="00EF2E79">
              <w:rPr>
                <w:rFonts w:ascii="Verdana" w:hAnsi="Verdana"/>
                <w:sz w:val="20"/>
                <w:szCs w:val="20"/>
              </w:rPr>
              <w:t>:</w:t>
            </w:r>
            <w:r w:rsidR="005D3E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6CA8">
              <w:rPr>
                <w:rFonts w:ascii="Verdana" w:hAnsi="Verdana"/>
                <w:sz w:val="20"/>
                <w:szCs w:val="20"/>
              </w:rPr>
              <w:t xml:space="preserve">Domingos Ferronato </w:t>
            </w:r>
          </w:p>
          <w:p w:rsidR="006D19C1" w:rsidRPr="00EF2E79" w:rsidRDefault="00E67CC9" w:rsidP="00106CA9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EF2E79" w:rsidRDefault="00E67CC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EF2E79" w:rsidRDefault="00E67CC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30DFE" w:rsidRPr="00EF2E79" w:rsidRDefault="00E67CC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Default="004A0AFE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56CA8" w:rsidRPr="00EF2E79" w:rsidRDefault="00D56CA8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F2E79" w:rsidRPr="00EF2E79" w:rsidRDefault="00EF2E7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sz w:val="20"/>
          <w:szCs w:val="20"/>
        </w:rPr>
        <w:lastRenderedPageBreak/>
        <w:t>ANEXO I – Nota de Despesa</w:t>
      </w:r>
    </w:p>
    <w:p w:rsidR="00EF2E79" w:rsidRPr="00EF2E79" w:rsidRDefault="00EF2E7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F2E79" w:rsidRPr="00EF2E79" w:rsidRDefault="00EF2E7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F2E79" w:rsidRPr="00EF2E79" w:rsidRDefault="00EF2E7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0AFE" w:rsidRPr="00EF2E79" w:rsidRDefault="00EF2E79" w:rsidP="00106CA9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EF2E79"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5612130" cy="602414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2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AFE" w:rsidRPr="00EF2E79" w:rsidSect="003D336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C9" w:rsidRDefault="00E67CC9">
      <w:r>
        <w:separator/>
      </w:r>
    </w:p>
  </w:endnote>
  <w:endnote w:type="continuationSeparator" w:id="0">
    <w:p w:rsidR="00E67CC9" w:rsidRDefault="00E6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9B6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E67CC9">
    <w:pPr>
      <w:pStyle w:val="Footer"/>
      <w:ind w:right="360"/>
    </w:pPr>
  </w:p>
  <w:p w:rsidR="00DD41F2" w:rsidRDefault="00E67CC9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9B6FA5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9B6FA5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1503DD">
      <w:rPr>
        <w:rStyle w:val="PageNumber"/>
        <w:rFonts w:ascii="Verdana" w:hAnsi="Verdana"/>
        <w:noProof/>
        <w:sz w:val="18"/>
      </w:rPr>
      <w:t>76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E67CC9">
    <w:pPr>
      <w:pStyle w:val="Footer"/>
      <w:ind w:right="360"/>
    </w:pPr>
  </w:p>
  <w:p w:rsidR="00DD41F2" w:rsidRDefault="00E67CC9" w:rsidP="005D2592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E67CC9">
    <w:pPr>
      <w:pStyle w:val="Footer"/>
    </w:pPr>
  </w:p>
  <w:p w:rsidR="00DD41F2" w:rsidRDefault="00E67CC9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C9" w:rsidRDefault="00E67CC9">
      <w:r>
        <w:separator/>
      </w:r>
    </w:p>
  </w:footnote>
  <w:footnote w:type="continuationSeparator" w:id="0">
    <w:p w:rsidR="00E67CC9" w:rsidRDefault="00E67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9B6FA5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9B6FA5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9B6FA5" w:rsidP="006E21C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Tesouraria</w:t>
          </w:r>
        </w:p>
      </w:tc>
      <w:tc>
        <w:tcPr>
          <w:tcW w:w="1843" w:type="dxa"/>
        </w:tcPr>
        <w:p w:rsidR="003D67B9" w:rsidRDefault="009B6FA5" w:rsidP="00F52A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34144B">
            <w:t>NG G</w:t>
          </w:r>
          <w:r w:rsidR="00793379">
            <w:t xml:space="preserve">DC </w:t>
          </w:r>
          <w:r>
            <w:t>03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E67CC9">
          <w:pPr>
            <w:pStyle w:val="Header"/>
          </w:pPr>
        </w:p>
      </w:tc>
      <w:tc>
        <w:tcPr>
          <w:tcW w:w="1854" w:type="dxa"/>
        </w:tcPr>
        <w:p w:rsidR="003D67B9" w:rsidRPr="00986E3A" w:rsidRDefault="009B6FA5" w:rsidP="006E21C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1503DD">
            <w:rPr>
              <w:sz w:val="16"/>
            </w:rPr>
            <w:t>08/12</w:t>
          </w:r>
          <w:r>
            <w:rPr>
              <w:sz w:val="16"/>
            </w:rPr>
            <w:t>/2017</w:t>
          </w:r>
        </w:p>
      </w:tc>
      <w:tc>
        <w:tcPr>
          <w:tcW w:w="900" w:type="dxa"/>
        </w:tcPr>
        <w:p w:rsidR="003D67B9" w:rsidRPr="00986E3A" w:rsidRDefault="009B6FA5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9B6FA5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9B6FA5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F1F66">
            <w:rPr>
              <w:b/>
              <w:sz w:val="16"/>
            </w:rPr>
            <w:t>Revisado por:</w:t>
          </w:r>
          <w:r w:rsidRPr="003F1F66">
            <w:rPr>
              <w:b/>
              <w:sz w:val="16"/>
            </w:rPr>
            <w:br/>
          </w:r>
          <w:r w:rsidRPr="003F1F66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D81AAD" w:rsidRPr="003F1F66" w:rsidRDefault="009B6FA5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3D67B9" w:rsidRPr="003F1F66" w:rsidRDefault="001503DD" w:rsidP="006E21C8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9B6FA5" w:rsidRPr="003F1F66">
            <w:rPr>
              <w:sz w:val="16"/>
            </w:rPr>
            <w:t>/2017</w:t>
          </w:r>
        </w:p>
      </w:tc>
    </w:tr>
  </w:tbl>
  <w:p w:rsidR="003D67B9" w:rsidRDefault="00E67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2382782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F6C69A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7F428B10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50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24"/>
    <w:rsid w:val="00047460"/>
    <w:rsid w:val="00066D92"/>
    <w:rsid w:val="000A2E80"/>
    <w:rsid w:val="00106CA9"/>
    <w:rsid w:val="0013577A"/>
    <w:rsid w:val="001503DD"/>
    <w:rsid w:val="0034144B"/>
    <w:rsid w:val="003448BD"/>
    <w:rsid w:val="00385D88"/>
    <w:rsid w:val="00395A05"/>
    <w:rsid w:val="003D3365"/>
    <w:rsid w:val="004A0AFE"/>
    <w:rsid w:val="005166FF"/>
    <w:rsid w:val="005D3EB0"/>
    <w:rsid w:val="006142EE"/>
    <w:rsid w:val="0062062E"/>
    <w:rsid w:val="006A7D19"/>
    <w:rsid w:val="007154A8"/>
    <w:rsid w:val="00733A99"/>
    <w:rsid w:val="00793379"/>
    <w:rsid w:val="00793B73"/>
    <w:rsid w:val="007A2266"/>
    <w:rsid w:val="007C6024"/>
    <w:rsid w:val="00965344"/>
    <w:rsid w:val="00987E1E"/>
    <w:rsid w:val="009B6FA5"/>
    <w:rsid w:val="009C6A03"/>
    <w:rsid w:val="00C5634A"/>
    <w:rsid w:val="00CC3B83"/>
    <w:rsid w:val="00D56CA8"/>
    <w:rsid w:val="00E2368B"/>
    <w:rsid w:val="00E36E5A"/>
    <w:rsid w:val="00E67CC9"/>
    <w:rsid w:val="00EA1DFF"/>
    <w:rsid w:val="00EF2E79"/>
    <w:rsid w:val="00F06E47"/>
    <w:rsid w:val="00F13ABD"/>
    <w:rsid w:val="00F51300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584DB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D111-31B6-43EE-A21F-E44F76CB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1117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7470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48</cp:revision>
  <dcterms:created xsi:type="dcterms:W3CDTF">2017-08-30T19:59:00Z</dcterms:created>
  <dcterms:modified xsi:type="dcterms:W3CDTF">2018-04-18T13:08:00Z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