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C1" w:rsidRPr="00D12AC6" w:rsidRDefault="003B2FF6" w:rsidP="0017436C">
      <w:pPr>
        <w:pStyle w:val="ListParagraph"/>
        <w:numPr>
          <w:ilvl w:val="0"/>
          <w:numId w:val="2"/>
        </w:numPr>
        <w:ind w:left="0" w:firstLine="0"/>
        <w:jc w:val="both"/>
        <w:rPr>
          <w:rFonts w:ascii="Verdana" w:hAnsi="Verdana"/>
          <w:b/>
          <w:color w:val="000000" w:themeColor="text1"/>
          <w:sz w:val="20"/>
          <w:szCs w:val="20"/>
        </w:rPr>
      </w:pPr>
      <w:r w:rsidRPr="00D12AC6">
        <w:rPr>
          <w:rFonts w:ascii="Verdana" w:hAnsi="Verdana"/>
          <w:b/>
          <w:color w:val="000000" w:themeColor="text1"/>
          <w:sz w:val="20"/>
          <w:szCs w:val="20"/>
        </w:rPr>
        <w:t>Objetivo</w:t>
      </w:r>
    </w:p>
    <w:p w:rsidR="00050037" w:rsidRDefault="0053306C" w:rsidP="0017436C">
      <w:pPr>
        <w:jc w:val="both"/>
        <w:rPr>
          <w:rFonts w:ascii="Verdana" w:hAnsi="Verdana"/>
          <w:color w:val="000000" w:themeColor="text1"/>
          <w:sz w:val="20"/>
          <w:szCs w:val="20"/>
        </w:rPr>
      </w:pPr>
      <w:r w:rsidRPr="0053306C">
        <w:rPr>
          <w:rFonts w:ascii="Verdana" w:hAnsi="Verdana"/>
          <w:color w:val="000000" w:themeColor="text1"/>
          <w:sz w:val="20"/>
          <w:szCs w:val="20"/>
        </w:rPr>
        <w:t>Estabelecer diretrizes, procedimentos, fluxos e competências no que se refere ao pagamento dos honorários sucumbenciais aos advogados da Gerência Jurídica da São Paulo Turismo S.A. (“Honorários Sucumbenciais”), objetivando dar maior clareza ao procedimento de pagamento, bem como atender à legislação pertinente ao tema e à Norma Geral da Ordem dos Advogados do Brasil.</w:t>
      </w:r>
    </w:p>
    <w:p w:rsidR="0017436C" w:rsidRPr="00050037" w:rsidRDefault="0017436C" w:rsidP="00050037">
      <w:pPr>
        <w:jc w:val="both"/>
        <w:rPr>
          <w:rFonts w:ascii="Verdana" w:hAnsi="Verdana"/>
          <w:color w:val="000000" w:themeColor="text1"/>
          <w:sz w:val="20"/>
          <w:szCs w:val="20"/>
        </w:rPr>
      </w:pPr>
    </w:p>
    <w:p w:rsidR="006D19C1" w:rsidRPr="00D12AC6" w:rsidRDefault="003B2FF6" w:rsidP="0017436C">
      <w:pPr>
        <w:pStyle w:val="ListParagraph"/>
        <w:numPr>
          <w:ilvl w:val="0"/>
          <w:numId w:val="2"/>
        </w:numPr>
        <w:ind w:left="0" w:firstLine="0"/>
        <w:jc w:val="both"/>
        <w:rPr>
          <w:rFonts w:ascii="Verdana" w:hAnsi="Verdana"/>
          <w:b/>
          <w:color w:val="000000" w:themeColor="text1"/>
          <w:sz w:val="20"/>
          <w:szCs w:val="20"/>
        </w:rPr>
      </w:pPr>
      <w:r w:rsidRPr="00D12AC6">
        <w:rPr>
          <w:rFonts w:ascii="Verdana" w:hAnsi="Verdana"/>
          <w:b/>
          <w:color w:val="000000" w:themeColor="text1"/>
          <w:sz w:val="20"/>
          <w:szCs w:val="20"/>
        </w:rPr>
        <w:t>Abrangência</w:t>
      </w:r>
    </w:p>
    <w:p w:rsidR="006D19C1" w:rsidRDefault="00A01C00" w:rsidP="0017436C">
      <w:pPr>
        <w:contextualSpacing/>
        <w:jc w:val="both"/>
        <w:rPr>
          <w:rFonts w:ascii="Verdana" w:hAnsi="Verdana"/>
          <w:color w:val="000000" w:themeColor="text1"/>
          <w:sz w:val="20"/>
          <w:szCs w:val="20"/>
        </w:rPr>
      </w:pPr>
      <w:r w:rsidRPr="00D12AC6">
        <w:rPr>
          <w:rFonts w:ascii="Verdana" w:hAnsi="Verdana"/>
          <w:color w:val="000000" w:themeColor="text1"/>
          <w:sz w:val="20"/>
          <w:szCs w:val="20"/>
        </w:rPr>
        <w:t>As definições, diretrizes e demais orientações intr</w:t>
      </w:r>
      <w:r w:rsidR="00692B8F" w:rsidRPr="00D12AC6">
        <w:rPr>
          <w:rFonts w:ascii="Verdana" w:hAnsi="Verdana"/>
          <w:color w:val="000000" w:themeColor="text1"/>
          <w:sz w:val="20"/>
          <w:szCs w:val="20"/>
        </w:rPr>
        <w:t>oduzidas por esta Norma</w:t>
      </w:r>
      <w:r w:rsidRPr="00D12AC6">
        <w:rPr>
          <w:rFonts w:ascii="Verdana" w:hAnsi="Verdana"/>
          <w:color w:val="000000" w:themeColor="text1"/>
          <w:sz w:val="20"/>
          <w:szCs w:val="20"/>
        </w:rPr>
        <w:t xml:space="preserve"> aplicam-se aos advogados lotados na Gerência Jurídica, bem como às demais áreas que terão impacto diretamente no pagamento dos Honorários Sucumbenciais, conforme aplicável.</w:t>
      </w:r>
    </w:p>
    <w:p w:rsidR="0053306C" w:rsidRPr="00D12AC6" w:rsidRDefault="0053306C" w:rsidP="00050037">
      <w:pPr>
        <w:spacing w:before="120" w:after="120"/>
        <w:contextualSpacing/>
        <w:jc w:val="both"/>
        <w:rPr>
          <w:rFonts w:ascii="Verdana" w:hAnsi="Verdana"/>
          <w:color w:val="000000" w:themeColor="text1"/>
          <w:sz w:val="20"/>
          <w:szCs w:val="20"/>
        </w:rPr>
      </w:pPr>
    </w:p>
    <w:p w:rsidR="00963BBA" w:rsidRPr="00963BBA" w:rsidRDefault="003B2FF6" w:rsidP="00050037">
      <w:pPr>
        <w:pStyle w:val="ListParagraph"/>
        <w:numPr>
          <w:ilvl w:val="0"/>
          <w:numId w:val="2"/>
        </w:numPr>
        <w:spacing w:before="120" w:after="120"/>
        <w:ind w:left="0" w:firstLine="0"/>
        <w:jc w:val="both"/>
        <w:rPr>
          <w:rFonts w:ascii="Verdana" w:hAnsi="Verdana"/>
          <w:b/>
          <w:color w:val="000000" w:themeColor="text1"/>
          <w:sz w:val="20"/>
          <w:szCs w:val="20"/>
        </w:rPr>
      </w:pPr>
      <w:r w:rsidRPr="00D12AC6">
        <w:rPr>
          <w:rFonts w:ascii="Verdana" w:hAnsi="Verdana"/>
          <w:b/>
          <w:color w:val="000000" w:themeColor="text1"/>
          <w:sz w:val="20"/>
          <w:szCs w:val="20"/>
        </w:rPr>
        <w:t>Definições</w:t>
      </w:r>
    </w:p>
    <w:p w:rsidR="00A01C00" w:rsidRPr="00D12AC6" w:rsidRDefault="00A01C00" w:rsidP="00050037">
      <w:pPr>
        <w:pStyle w:val="ListParagraph"/>
        <w:numPr>
          <w:ilvl w:val="1"/>
          <w:numId w:val="2"/>
        </w:numPr>
        <w:spacing w:before="120" w:after="120"/>
        <w:ind w:left="0" w:firstLine="0"/>
        <w:jc w:val="both"/>
        <w:rPr>
          <w:rFonts w:ascii="Verdana" w:hAnsi="Verdana"/>
          <w:color w:val="000000" w:themeColor="text1"/>
          <w:sz w:val="20"/>
          <w:szCs w:val="20"/>
          <w:u w:val="single"/>
        </w:rPr>
      </w:pPr>
      <w:r w:rsidRPr="00D12AC6">
        <w:rPr>
          <w:rFonts w:ascii="Verdana" w:hAnsi="Verdana"/>
          <w:color w:val="000000" w:themeColor="text1"/>
          <w:sz w:val="20"/>
          <w:szCs w:val="20"/>
          <w:u w:val="single"/>
        </w:rPr>
        <w:t>GJU</w:t>
      </w:r>
      <w:r w:rsidR="00A2206C" w:rsidRPr="00D12AC6">
        <w:rPr>
          <w:rFonts w:ascii="Verdana" w:hAnsi="Verdana"/>
          <w:color w:val="000000" w:themeColor="text1"/>
          <w:sz w:val="20"/>
          <w:szCs w:val="20"/>
        </w:rPr>
        <w:t>:</w:t>
      </w:r>
      <w:r w:rsidRPr="00D12AC6">
        <w:rPr>
          <w:rFonts w:ascii="Verdana" w:hAnsi="Verdana"/>
          <w:color w:val="000000" w:themeColor="text1"/>
          <w:sz w:val="20"/>
          <w:szCs w:val="20"/>
        </w:rPr>
        <w:t xml:space="preserve"> </w:t>
      </w:r>
      <w:r w:rsidR="00692B8F" w:rsidRPr="00D12AC6">
        <w:rPr>
          <w:rFonts w:ascii="Verdana" w:hAnsi="Verdana"/>
          <w:color w:val="000000" w:themeColor="text1"/>
          <w:sz w:val="20"/>
          <w:szCs w:val="20"/>
        </w:rPr>
        <w:t>Gerência Jurídica.</w:t>
      </w:r>
    </w:p>
    <w:p w:rsidR="00A01C00" w:rsidRPr="00D12AC6" w:rsidRDefault="00A01C00" w:rsidP="00050037">
      <w:pPr>
        <w:pStyle w:val="ListParagraph"/>
        <w:numPr>
          <w:ilvl w:val="1"/>
          <w:numId w:val="2"/>
        </w:numPr>
        <w:spacing w:before="120" w:after="120"/>
        <w:ind w:left="0" w:firstLine="0"/>
        <w:jc w:val="both"/>
        <w:rPr>
          <w:rFonts w:ascii="Verdana" w:hAnsi="Verdana"/>
          <w:color w:val="000000" w:themeColor="text1"/>
          <w:sz w:val="20"/>
          <w:szCs w:val="20"/>
          <w:u w:val="single"/>
        </w:rPr>
      </w:pPr>
      <w:r w:rsidRPr="00D12AC6">
        <w:rPr>
          <w:rFonts w:ascii="Verdana" w:hAnsi="Verdana"/>
          <w:color w:val="000000" w:themeColor="text1"/>
          <w:sz w:val="20"/>
          <w:szCs w:val="20"/>
          <w:u w:val="single"/>
        </w:rPr>
        <w:t>GDC</w:t>
      </w:r>
      <w:r w:rsidR="00A2206C" w:rsidRPr="00D12AC6">
        <w:rPr>
          <w:rFonts w:ascii="Verdana" w:hAnsi="Verdana"/>
          <w:color w:val="000000" w:themeColor="text1"/>
          <w:sz w:val="20"/>
          <w:szCs w:val="20"/>
        </w:rPr>
        <w:t>:</w:t>
      </w:r>
      <w:r w:rsidRPr="00D12AC6">
        <w:rPr>
          <w:rFonts w:ascii="Verdana" w:hAnsi="Verdana"/>
          <w:color w:val="000000" w:themeColor="text1"/>
          <w:sz w:val="20"/>
          <w:szCs w:val="20"/>
        </w:rPr>
        <w:t xml:space="preserve"> </w:t>
      </w:r>
      <w:r w:rsidR="00692B8F" w:rsidRPr="00D12AC6">
        <w:rPr>
          <w:rFonts w:ascii="Verdana" w:hAnsi="Verdana"/>
          <w:color w:val="000000" w:themeColor="text1"/>
          <w:sz w:val="20"/>
          <w:szCs w:val="20"/>
        </w:rPr>
        <w:t>Gerência de Controladoria.</w:t>
      </w:r>
    </w:p>
    <w:p w:rsidR="00A01C00" w:rsidRPr="00D12AC6" w:rsidRDefault="00A01C00" w:rsidP="00050037">
      <w:pPr>
        <w:pStyle w:val="ListParagraph"/>
        <w:numPr>
          <w:ilvl w:val="1"/>
          <w:numId w:val="2"/>
        </w:numPr>
        <w:spacing w:before="120" w:after="120"/>
        <w:ind w:left="0" w:firstLine="0"/>
        <w:jc w:val="both"/>
        <w:rPr>
          <w:rFonts w:ascii="Verdana" w:hAnsi="Verdana"/>
          <w:color w:val="000000" w:themeColor="text1"/>
          <w:sz w:val="20"/>
          <w:szCs w:val="20"/>
          <w:u w:val="single"/>
        </w:rPr>
      </w:pPr>
      <w:r w:rsidRPr="00D12AC6">
        <w:rPr>
          <w:rFonts w:ascii="Verdana" w:hAnsi="Verdana"/>
          <w:color w:val="000000" w:themeColor="text1"/>
          <w:sz w:val="20"/>
          <w:szCs w:val="20"/>
          <w:u w:val="single"/>
        </w:rPr>
        <w:t>PRG</w:t>
      </w:r>
      <w:r w:rsidR="00A2206C" w:rsidRPr="00D12AC6">
        <w:rPr>
          <w:rFonts w:ascii="Verdana" w:hAnsi="Verdana"/>
          <w:color w:val="000000" w:themeColor="text1"/>
          <w:sz w:val="20"/>
          <w:szCs w:val="20"/>
        </w:rPr>
        <w:t>:</w:t>
      </w:r>
      <w:r w:rsidRPr="00D12AC6">
        <w:rPr>
          <w:rFonts w:ascii="Verdana" w:hAnsi="Verdana"/>
          <w:color w:val="000000" w:themeColor="text1"/>
          <w:sz w:val="20"/>
          <w:szCs w:val="20"/>
        </w:rPr>
        <w:t xml:space="preserve"> </w:t>
      </w:r>
      <w:r w:rsidR="00692B8F" w:rsidRPr="00D12AC6">
        <w:rPr>
          <w:rFonts w:ascii="Verdana" w:hAnsi="Verdana"/>
          <w:color w:val="000000" w:themeColor="text1"/>
          <w:sz w:val="20"/>
          <w:szCs w:val="20"/>
        </w:rPr>
        <w:t>Chefia de Gabinete.</w:t>
      </w:r>
    </w:p>
    <w:p w:rsidR="00A01C00" w:rsidRPr="00D12AC6" w:rsidRDefault="00A01C00" w:rsidP="00050037">
      <w:pPr>
        <w:pStyle w:val="ListParagraph"/>
        <w:numPr>
          <w:ilvl w:val="1"/>
          <w:numId w:val="2"/>
        </w:numPr>
        <w:spacing w:before="120" w:after="120"/>
        <w:ind w:left="0" w:firstLine="0"/>
        <w:jc w:val="both"/>
        <w:rPr>
          <w:rFonts w:ascii="Verdana" w:hAnsi="Verdana"/>
          <w:color w:val="000000" w:themeColor="text1"/>
          <w:sz w:val="20"/>
          <w:szCs w:val="20"/>
          <w:u w:val="single"/>
        </w:rPr>
      </w:pPr>
      <w:r w:rsidRPr="00D12AC6">
        <w:rPr>
          <w:rFonts w:ascii="Verdana" w:hAnsi="Verdana"/>
          <w:color w:val="000000" w:themeColor="text1"/>
          <w:sz w:val="20"/>
          <w:szCs w:val="20"/>
          <w:u w:val="single"/>
        </w:rPr>
        <w:t>DAF</w:t>
      </w:r>
      <w:r w:rsidR="00A2206C" w:rsidRPr="00D12AC6">
        <w:rPr>
          <w:rFonts w:ascii="Verdana" w:hAnsi="Verdana"/>
          <w:color w:val="000000" w:themeColor="text1"/>
          <w:sz w:val="20"/>
          <w:szCs w:val="20"/>
        </w:rPr>
        <w:t>:</w:t>
      </w:r>
      <w:r w:rsidR="00E62D60" w:rsidRPr="00D12AC6">
        <w:rPr>
          <w:rFonts w:ascii="Verdana" w:hAnsi="Verdana"/>
          <w:color w:val="000000" w:themeColor="text1"/>
          <w:sz w:val="20"/>
          <w:szCs w:val="20"/>
        </w:rPr>
        <w:t xml:space="preserve"> Diretoria Administrativo-</w:t>
      </w:r>
      <w:r w:rsidRPr="00D12AC6">
        <w:rPr>
          <w:rFonts w:ascii="Verdana" w:hAnsi="Verdana"/>
          <w:color w:val="000000" w:themeColor="text1"/>
          <w:sz w:val="20"/>
          <w:szCs w:val="20"/>
        </w:rPr>
        <w:t>Financeir</w:t>
      </w:r>
      <w:r w:rsidR="00692B8F" w:rsidRPr="00D12AC6">
        <w:rPr>
          <w:rFonts w:ascii="Verdana" w:hAnsi="Verdana"/>
          <w:color w:val="000000" w:themeColor="text1"/>
          <w:sz w:val="20"/>
          <w:szCs w:val="20"/>
        </w:rPr>
        <w:t>a e de Relação com Investidores.</w:t>
      </w:r>
    </w:p>
    <w:p w:rsidR="00A01C00" w:rsidRPr="00D12AC6" w:rsidRDefault="00A01C00" w:rsidP="00050037">
      <w:pPr>
        <w:pStyle w:val="ListParagraph"/>
        <w:numPr>
          <w:ilvl w:val="1"/>
          <w:numId w:val="2"/>
        </w:numPr>
        <w:spacing w:before="120" w:after="120"/>
        <w:ind w:left="0" w:firstLine="0"/>
        <w:jc w:val="both"/>
        <w:rPr>
          <w:rFonts w:ascii="Verdana" w:hAnsi="Verdana"/>
          <w:color w:val="000000" w:themeColor="text1"/>
          <w:sz w:val="20"/>
          <w:szCs w:val="20"/>
          <w:u w:val="single"/>
        </w:rPr>
      </w:pPr>
      <w:r w:rsidRPr="00D12AC6">
        <w:rPr>
          <w:rFonts w:ascii="Verdana" w:hAnsi="Verdana"/>
          <w:color w:val="000000" w:themeColor="text1"/>
          <w:sz w:val="20"/>
          <w:szCs w:val="20"/>
          <w:u w:val="single"/>
        </w:rPr>
        <w:t>OAB</w:t>
      </w:r>
      <w:r w:rsidR="00A2206C" w:rsidRPr="00D12AC6">
        <w:rPr>
          <w:rFonts w:ascii="Verdana" w:hAnsi="Verdana"/>
          <w:color w:val="000000" w:themeColor="text1"/>
          <w:sz w:val="20"/>
          <w:szCs w:val="20"/>
        </w:rPr>
        <w:t>:</w:t>
      </w:r>
      <w:r w:rsidRPr="00D12AC6">
        <w:rPr>
          <w:rFonts w:ascii="Verdana" w:hAnsi="Verdana"/>
          <w:color w:val="000000" w:themeColor="text1"/>
          <w:sz w:val="20"/>
          <w:szCs w:val="20"/>
        </w:rPr>
        <w:t xml:space="preserve"> </w:t>
      </w:r>
      <w:r w:rsidR="00692B8F" w:rsidRPr="00D12AC6">
        <w:rPr>
          <w:rFonts w:ascii="Verdana" w:hAnsi="Verdana"/>
          <w:color w:val="000000" w:themeColor="text1"/>
          <w:sz w:val="20"/>
          <w:szCs w:val="20"/>
        </w:rPr>
        <w:t>Ordem dos Advogados do Brasil.</w:t>
      </w:r>
    </w:p>
    <w:p w:rsidR="00A01C00" w:rsidRPr="00D12AC6" w:rsidRDefault="00A01C00" w:rsidP="00050037">
      <w:pPr>
        <w:pStyle w:val="ListParagraph"/>
        <w:numPr>
          <w:ilvl w:val="1"/>
          <w:numId w:val="2"/>
        </w:numPr>
        <w:spacing w:before="120" w:after="120"/>
        <w:ind w:left="0" w:firstLine="0"/>
        <w:jc w:val="both"/>
        <w:rPr>
          <w:rFonts w:ascii="Verdana" w:hAnsi="Verdana"/>
          <w:color w:val="000000" w:themeColor="text1"/>
          <w:sz w:val="20"/>
          <w:szCs w:val="20"/>
        </w:rPr>
      </w:pPr>
      <w:r w:rsidRPr="00D12AC6">
        <w:rPr>
          <w:rFonts w:ascii="Verdana" w:hAnsi="Verdana"/>
          <w:color w:val="000000" w:themeColor="text1"/>
          <w:sz w:val="20"/>
          <w:szCs w:val="20"/>
          <w:u w:val="single"/>
        </w:rPr>
        <w:t>CI</w:t>
      </w:r>
      <w:r w:rsidR="00A2206C" w:rsidRPr="00D12AC6">
        <w:rPr>
          <w:rFonts w:ascii="Verdana" w:hAnsi="Verdana"/>
          <w:color w:val="000000" w:themeColor="text1"/>
          <w:sz w:val="20"/>
          <w:szCs w:val="20"/>
        </w:rPr>
        <w:t>:</w:t>
      </w:r>
      <w:r w:rsidRPr="00D12AC6">
        <w:rPr>
          <w:rFonts w:ascii="Verdana" w:hAnsi="Verdana"/>
          <w:color w:val="000000" w:themeColor="text1"/>
          <w:sz w:val="20"/>
          <w:szCs w:val="20"/>
        </w:rPr>
        <w:t xml:space="preserve"> </w:t>
      </w:r>
      <w:r w:rsidR="00692B8F" w:rsidRPr="00D12AC6">
        <w:rPr>
          <w:rFonts w:ascii="Verdana" w:hAnsi="Verdana"/>
          <w:color w:val="000000" w:themeColor="text1"/>
          <w:sz w:val="20"/>
          <w:szCs w:val="20"/>
        </w:rPr>
        <w:t>Comunicação Interna.</w:t>
      </w:r>
    </w:p>
    <w:p w:rsidR="000017DF" w:rsidRPr="00D12AC6" w:rsidRDefault="00A01C00" w:rsidP="00050037">
      <w:pPr>
        <w:pStyle w:val="ListParagraph"/>
        <w:numPr>
          <w:ilvl w:val="1"/>
          <w:numId w:val="2"/>
        </w:numPr>
        <w:spacing w:before="120" w:after="120"/>
        <w:ind w:left="0" w:firstLine="0"/>
        <w:jc w:val="both"/>
        <w:rPr>
          <w:rFonts w:ascii="Verdana" w:hAnsi="Verdana"/>
          <w:color w:val="000000" w:themeColor="text1"/>
          <w:sz w:val="20"/>
          <w:szCs w:val="20"/>
          <w:u w:val="single"/>
        </w:rPr>
      </w:pPr>
      <w:r w:rsidRPr="00D12AC6">
        <w:rPr>
          <w:rFonts w:ascii="Verdana" w:hAnsi="Verdana"/>
          <w:color w:val="000000" w:themeColor="text1"/>
          <w:sz w:val="20"/>
          <w:szCs w:val="20"/>
          <w:u w:val="single"/>
        </w:rPr>
        <w:t>GRH</w:t>
      </w:r>
      <w:r w:rsidR="00A2206C" w:rsidRPr="00D12AC6">
        <w:rPr>
          <w:rFonts w:ascii="Verdana" w:hAnsi="Verdana"/>
          <w:color w:val="000000" w:themeColor="text1"/>
          <w:sz w:val="20"/>
          <w:szCs w:val="20"/>
        </w:rPr>
        <w:t>:</w:t>
      </w:r>
      <w:r w:rsidRPr="00D12AC6">
        <w:rPr>
          <w:rFonts w:ascii="Verdana" w:hAnsi="Verdana"/>
          <w:color w:val="000000" w:themeColor="text1"/>
          <w:sz w:val="20"/>
          <w:szCs w:val="20"/>
        </w:rPr>
        <w:t xml:space="preserve"> Gerência de Recursos Humanos.</w:t>
      </w:r>
    </w:p>
    <w:p w:rsidR="00A01C00" w:rsidRPr="00D12AC6" w:rsidRDefault="00A01C00" w:rsidP="00050037">
      <w:pPr>
        <w:pStyle w:val="ListParagraph"/>
        <w:spacing w:before="120" w:after="120"/>
        <w:ind w:left="0"/>
        <w:jc w:val="both"/>
        <w:rPr>
          <w:rFonts w:ascii="Verdana" w:hAnsi="Verdana"/>
          <w:b/>
          <w:color w:val="000000" w:themeColor="text1"/>
          <w:sz w:val="20"/>
          <w:szCs w:val="20"/>
        </w:rPr>
      </w:pPr>
    </w:p>
    <w:p w:rsidR="00816CE7" w:rsidRPr="00D12AC6" w:rsidRDefault="00A01C00" w:rsidP="0017436C">
      <w:pPr>
        <w:pStyle w:val="ListParagraph"/>
        <w:numPr>
          <w:ilvl w:val="0"/>
          <w:numId w:val="2"/>
        </w:numPr>
        <w:ind w:left="0" w:firstLine="0"/>
        <w:jc w:val="both"/>
        <w:rPr>
          <w:rFonts w:ascii="Verdana" w:hAnsi="Verdana"/>
          <w:b/>
          <w:color w:val="000000" w:themeColor="text1"/>
          <w:sz w:val="20"/>
          <w:szCs w:val="20"/>
        </w:rPr>
      </w:pPr>
      <w:r w:rsidRPr="00D12AC6">
        <w:rPr>
          <w:rFonts w:ascii="Verdana" w:hAnsi="Verdana"/>
          <w:b/>
          <w:color w:val="000000" w:themeColor="text1"/>
          <w:sz w:val="20"/>
          <w:szCs w:val="20"/>
        </w:rPr>
        <w:t>Diretrizes</w:t>
      </w:r>
    </w:p>
    <w:p w:rsidR="00692B8F" w:rsidRPr="00D12AC6" w:rsidRDefault="00692B8F" w:rsidP="0017436C">
      <w:pPr>
        <w:pStyle w:val="BodyText2"/>
        <w:numPr>
          <w:ilvl w:val="1"/>
          <w:numId w:val="2"/>
        </w:numPr>
        <w:autoSpaceDE/>
        <w:autoSpaceDN/>
        <w:adjustRightInd/>
        <w:spacing w:line="240" w:lineRule="auto"/>
        <w:ind w:left="0" w:firstLine="0"/>
        <w:contextualSpacing/>
        <w:jc w:val="both"/>
        <w:rPr>
          <w:rFonts w:ascii="Verdana" w:hAnsi="Verdana"/>
          <w:b/>
          <w:color w:val="000000" w:themeColor="text1"/>
        </w:rPr>
      </w:pPr>
      <w:r w:rsidRPr="00D12AC6">
        <w:rPr>
          <w:rFonts w:ascii="Verdana" w:hAnsi="Verdana"/>
          <w:b/>
          <w:color w:val="000000" w:themeColor="text1"/>
        </w:rPr>
        <w:t>Honorários Sucumbenciais</w:t>
      </w:r>
    </w:p>
    <w:p w:rsidR="00A01C00" w:rsidRPr="00D12AC6" w:rsidRDefault="0053306C" w:rsidP="0017436C">
      <w:pPr>
        <w:pStyle w:val="BodyText2"/>
        <w:numPr>
          <w:ilvl w:val="2"/>
          <w:numId w:val="2"/>
        </w:numPr>
        <w:autoSpaceDE/>
        <w:autoSpaceDN/>
        <w:adjustRightInd/>
        <w:spacing w:line="240" w:lineRule="auto"/>
        <w:ind w:left="0" w:firstLine="0"/>
        <w:contextualSpacing/>
        <w:jc w:val="both"/>
        <w:rPr>
          <w:rFonts w:ascii="Verdana" w:hAnsi="Verdana" w:cs="Arial"/>
          <w:color w:val="000000" w:themeColor="text1"/>
        </w:rPr>
      </w:pPr>
      <w:r w:rsidRPr="0053306C">
        <w:rPr>
          <w:rFonts w:ascii="Verdana" w:hAnsi="Verdana" w:cs="Arial"/>
          <w:color w:val="000000" w:themeColor="text1"/>
        </w:rPr>
        <w:t>Têm direito ao recebimento dos Honorários Sucumbenciais todos os advogados efetivamente integrantes da Gerência Jurídica, conforme previsto nos art. 3º, §1º, e 23, da Lei nº. 8.906/94 art. 85, §14 do Código de Processo Civil, que dispõe: “Os honorários constituem direito do advogado e têm natureza alimentar, com os mesmos privilégios dos créditos oriundos</w:t>
      </w:r>
      <w:r>
        <w:t xml:space="preserve"> </w:t>
      </w:r>
      <w:r w:rsidRPr="0053306C">
        <w:rPr>
          <w:rFonts w:ascii="Verdana" w:hAnsi="Verdana" w:cs="Arial"/>
          <w:color w:val="000000" w:themeColor="text1"/>
        </w:rPr>
        <w:t>da legislação do trabalho, sendo vedada a compensação em caso de sucumbência parcial”.</w:t>
      </w:r>
    </w:p>
    <w:p w:rsidR="00A01C00" w:rsidRPr="00D12AC6" w:rsidRDefault="00A01C00" w:rsidP="0017436C">
      <w:pPr>
        <w:pStyle w:val="BodyText2"/>
        <w:numPr>
          <w:ilvl w:val="2"/>
          <w:numId w:val="2"/>
        </w:numPr>
        <w:autoSpaceDE/>
        <w:autoSpaceDN/>
        <w:adjustRightInd/>
        <w:spacing w:line="240" w:lineRule="auto"/>
        <w:ind w:left="0" w:firstLine="0"/>
        <w:contextualSpacing/>
        <w:jc w:val="both"/>
        <w:rPr>
          <w:rFonts w:ascii="Verdana" w:hAnsi="Verdana" w:cs="Arial"/>
          <w:color w:val="000000" w:themeColor="text1"/>
        </w:rPr>
      </w:pPr>
      <w:r w:rsidRPr="00D12AC6">
        <w:rPr>
          <w:rFonts w:ascii="Verdana" w:hAnsi="Verdana" w:cs="Arial"/>
          <w:color w:val="000000" w:themeColor="text1"/>
        </w:rPr>
        <w:t xml:space="preserve">Farão jus aos </w:t>
      </w:r>
      <w:r w:rsidRPr="00D12AC6">
        <w:rPr>
          <w:rFonts w:ascii="Verdana" w:hAnsi="Verdana" w:cs="Arial"/>
          <w:color w:val="000000" w:themeColor="text1"/>
          <w:u w:val="single"/>
        </w:rPr>
        <w:t>Honorários Sucumbenciais</w:t>
      </w:r>
      <w:r w:rsidRPr="00D12AC6">
        <w:rPr>
          <w:rFonts w:ascii="Verdana" w:hAnsi="Verdana" w:cs="Arial"/>
          <w:color w:val="000000" w:themeColor="text1"/>
        </w:rPr>
        <w:t xml:space="preserve"> os advogados contratados para o exercício da advocacia em favor da SP Turismo que estejam no exercício dessa atividade e sejam necessariamente integrantes da GJU</w:t>
      </w:r>
      <w:r w:rsidR="00692B8F" w:rsidRPr="00D12AC6">
        <w:rPr>
          <w:rFonts w:ascii="Verdana" w:hAnsi="Verdana" w:cs="Arial"/>
          <w:color w:val="000000" w:themeColor="text1"/>
        </w:rPr>
        <w:t xml:space="preserve"> (Gerência Jurídica)</w:t>
      </w:r>
      <w:r w:rsidRPr="00D12AC6">
        <w:rPr>
          <w:rFonts w:ascii="Verdana" w:hAnsi="Verdana" w:cs="Arial"/>
          <w:color w:val="000000" w:themeColor="text1"/>
        </w:rPr>
        <w:t>.</w:t>
      </w:r>
    </w:p>
    <w:p w:rsidR="00A01C00" w:rsidRPr="00D12AC6" w:rsidRDefault="0053306C" w:rsidP="0017436C">
      <w:pPr>
        <w:pStyle w:val="BodyText2"/>
        <w:numPr>
          <w:ilvl w:val="2"/>
          <w:numId w:val="2"/>
        </w:numPr>
        <w:autoSpaceDE/>
        <w:autoSpaceDN/>
        <w:adjustRightInd/>
        <w:spacing w:line="240" w:lineRule="auto"/>
        <w:ind w:left="0" w:firstLine="0"/>
        <w:contextualSpacing/>
        <w:jc w:val="both"/>
        <w:rPr>
          <w:rFonts w:ascii="Verdana" w:hAnsi="Verdana" w:cs="Arial"/>
          <w:color w:val="000000" w:themeColor="text1"/>
        </w:rPr>
      </w:pPr>
      <w:r w:rsidRPr="0053306C">
        <w:rPr>
          <w:rFonts w:ascii="Verdana" w:hAnsi="Verdana" w:cs="Arial"/>
          <w:color w:val="000000" w:themeColor="text1"/>
        </w:rPr>
        <w:t>Tendo em vista que outros advogados estão lotados em cargos diversos na empresa, excluem-se do rateio de Honorários Sucumbenciais todos aqueles que não ocupem o cargo de advogado, nem integrem a GJU, ainda que tenham registro na OAB (Ordem dos Advogados do Brasil).</w:t>
      </w:r>
    </w:p>
    <w:p w:rsidR="00A01C00" w:rsidRPr="00D12AC6" w:rsidRDefault="0053306C" w:rsidP="0017436C">
      <w:pPr>
        <w:pStyle w:val="BodyText2"/>
        <w:numPr>
          <w:ilvl w:val="2"/>
          <w:numId w:val="2"/>
        </w:numPr>
        <w:autoSpaceDE/>
        <w:autoSpaceDN/>
        <w:adjustRightInd/>
        <w:spacing w:line="240" w:lineRule="auto"/>
        <w:ind w:left="0" w:firstLine="0"/>
        <w:contextualSpacing/>
        <w:jc w:val="both"/>
        <w:rPr>
          <w:rFonts w:ascii="Verdana" w:hAnsi="Verdana" w:cs="Arial"/>
          <w:color w:val="000000" w:themeColor="text1"/>
        </w:rPr>
      </w:pPr>
      <w:r w:rsidRPr="0053306C">
        <w:rPr>
          <w:rFonts w:ascii="Verdana" w:hAnsi="Verdana" w:cs="Arial"/>
          <w:color w:val="000000" w:themeColor="text1"/>
        </w:rPr>
        <w:t>A partir de 30 (trinta) dias após a sua contratação pela SP Turismo ou após seu retorno à função de advogado da GJU, o advogado será incluído no rateio dos Honorários Sucumbenciais. Entretanto, não terá direito ao recebimento dos Honorários Sucumbenciais na hipótese de o mandado de levantamento judicial ter sido expedido com data anterior ou durante esse período de 30 (trinta) dias.</w:t>
      </w:r>
    </w:p>
    <w:p w:rsidR="00373B45" w:rsidRPr="00373B45" w:rsidRDefault="00373B45" w:rsidP="0017436C">
      <w:pPr>
        <w:pStyle w:val="BodyText2"/>
        <w:numPr>
          <w:ilvl w:val="2"/>
          <w:numId w:val="2"/>
        </w:numPr>
        <w:autoSpaceDE/>
        <w:autoSpaceDN/>
        <w:adjustRightInd/>
        <w:spacing w:line="240" w:lineRule="auto"/>
        <w:ind w:left="0" w:firstLine="0"/>
        <w:contextualSpacing/>
        <w:jc w:val="both"/>
        <w:rPr>
          <w:rFonts w:ascii="Verdana" w:hAnsi="Verdana" w:cs="Arial"/>
          <w:color w:val="000000" w:themeColor="text1"/>
        </w:rPr>
      </w:pPr>
      <w:r w:rsidRPr="00373B45">
        <w:rPr>
          <w:rFonts w:ascii="Verdana" w:hAnsi="Verdana" w:cs="Arial"/>
          <w:color w:val="000000" w:themeColor="text1"/>
        </w:rPr>
        <w:t xml:space="preserve">Da mesma sorte, o advogado será excluído do rateio dos Honorários Sucumbenciais na hipótese do seu desligamento dos quadros da empresa ou assunção de função em área diversa da GJU. Todavia, ocorrendo a expedição de mandados no prazo de até 30 (trinta) dias subsequentes ao seu afastamento ou exclusão, o advogado fará jus ao rateio. </w:t>
      </w:r>
    </w:p>
    <w:p w:rsidR="00A01C00" w:rsidRPr="00D12AC6" w:rsidRDefault="00A01C00" w:rsidP="0017436C">
      <w:pPr>
        <w:pStyle w:val="BodyText2"/>
        <w:numPr>
          <w:ilvl w:val="2"/>
          <w:numId w:val="2"/>
        </w:numPr>
        <w:autoSpaceDE/>
        <w:autoSpaceDN/>
        <w:adjustRightInd/>
        <w:spacing w:line="240" w:lineRule="auto"/>
        <w:ind w:left="0" w:firstLine="0"/>
        <w:contextualSpacing/>
        <w:jc w:val="both"/>
        <w:rPr>
          <w:rFonts w:ascii="Verdana" w:hAnsi="Verdana" w:cs="Arial"/>
          <w:color w:val="000000" w:themeColor="text1"/>
        </w:rPr>
      </w:pPr>
      <w:r w:rsidRPr="00D12AC6">
        <w:rPr>
          <w:rFonts w:ascii="Verdana" w:hAnsi="Verdana" w:cs="Arial"/>
          <w:color w:val="000000" w:themeColor="text1"/>
        </w:rPr>
        <w:lastRenderedPageBreak/>
        <w:t xml:space="preserve">As regras previstas nos itens </w:t>
      </w:r>
      <w:r w:rsidR="00D12AC6">
        <w:rPr>
          <w:rFonts w:ascii="Verdana" w:hAnsi="Verdana" w:cs="Arial"/>
          <w:color w:val="000000" w:themeColor="text1"/>
        </w:rPr>
        <w:t>4</w:t>
      </w:r>
      <w:r w:rsidR="00D12AC6" w:rsidRPr="00D12AC6">
        <w:rPr>
          <w:rFonts w:ascii="Verdana" w:hAnsi="Verdana" w:cs="Arial"/>
          <w:color w:val="000000" w:themeColor="text1"/>
        </w:rPr>
        <w:t>.1</w:t>
      </w:r>
      <w:r w:rsidR="00D12AC6">
        <w:rPr>
          <w:rFonts w:ascii="Verdana" w:hAnsi="Verdana" w:cs="Arial"/>
          <w:color w:val="000000" w:themeColor="text1"/>
        </w:rPr>
        <w:t>.3</w:t>
      </w:r>
      <w:r w:rsidR="00D12AC6" w:rsidRPr="00D12AC6">
        <w:rPr>
          <w:rFonts w:ascii="Verdana" w:hAnsi="Verdana" w:cs="Arial"/>
          <w:color w:val="000000" w:themeColor="text1"/>
        </w:rPr>
        <w:t xml:space="preserve"> a </w:t>
      </w:r>
      <w:r w:rsidR="00D12AC6">
        <w:rPr>
          <w:rFonts w:ascii="Verdana" w:hAnsi="Verdana" w:cs="Arial"/>
          <w:color w:val="000000" w:themeColor="text1"/>
        </w:rPr>
        <w:t>4.1.5</w:t>
      </w:r>
      <w:r w:rsidRPr="00D12AC6">
        <w:rPr>
          <w:rFonts w:ascii="Verdana" w:hAnsi="Verdana" w:cs="Arial"/>
          <w:color w:val="000000" w:themeColor="text1"/>
        </w:rPr>
        <w:t xml:space="preserve"> também serão aplicadas às hipóteses em que os advogados da GJU tiverem concordado, conforme previsto no item </w:t>
      </w:r>
      <w:r w:rsidR="00D12AC6">
        <w:rPr>
          <w:rFonts w:ascii="Verdana" w:hAnsi="Verdana" w:cs="Arial"/>
          <w:color w:val="000000" w:themeColor="text1"/>
        </w:rPr>
        <w:t>4.1.8</w:t>
      </w:r>
      <w:r w:rsidRPr="00D12AC6">
        <w:rPr>
          <w:rFonts w:ascii="Verdana" w:hAnsi="Verdana" w:cs="Arial"/>
          <w:color w:val="000000" w:themeColor="text1"/>
        </w:rPr>
        <w:t xml:space="preserve">, com o recebimento parcelado dos </w:t>
      </w:r>
      <w:r w:rsidRPr="00373B45">
        <w:rPr>
          <w:rFonts w:ascii="Verdana" w:hAnsi="Verdana" w:cs="Arial"/>
          <w:color w:val="000000" w:themeColor="text1"/>
          <w:u w:val="single"/>
        </w:rPr>
        <w:t xml:space="preserve">Honorários </w:t>
      </w:r>
      <w:r w:rsidRPr="00D12AC6">
        <w:rPr>
          <w:rFonts w:ascii="Verdana" w:hAnsi="Verdana" w:cs="Arial"/>
          <w:color w:val="000000" w:themeColor="text1"/>
          <w:u w:val="single"/>
        </w:rPr>
        <w:t>Sucumbenciais</w:t>
      </w:r>
      <w:r w:rsidRPr="00D12AC6">
        <w:rPr>
          <w:rFonts w:ascii="Verdana" w:hAnsi="Verdana" w:cs="Arial"/>
          <w:color w:val="000000" w:themeColor="text1"/>
        </w:rPr>
        <w:t xml:space="preserve">. </w:t>
      </w:r>
    </w:p>
    <w:p w:rsidR="00A01C00" w:rsidRPr="00D12AC6" w:rsidRDefault="00A01C00" w:rsidP="0017436C">
      <w:pPr>
        <w:pStyle w:val="BodyText2"/>
        <w:numPr>
          <w:ilvl w:val="2"/>
          <w:numId w:val="2"/>
        </w:numPr>
        <w:autoSpaceDE/>
        <w:autoSpaceDN/>
        <w:adjustRightInd/>
        <w:spacing w:line="240" w:lineRule="auto"/>
        <w:ind w:left="0" w:firstLine="0"/>
        <w:contextualSpacing/>
        <w:jc w:val="both"/>
        <w:rPr>
          <w:rFonts w:ascii="Verdana" w:hAnsi="Verdana" w:cs="Arial"/>
          <w:color w:val="000000" w:themeColor="text1"/>
        </w:rPr>
      </w:pPr>
      <w:r w:rsidRPr="00D12AC6">
        <w:rPr>
          <w:rFonts w:ascii="Verdana" w:hAnsi="Verdana" w:cs="Arial"/>
          <w:color w:val="000000" w:themeColor="text1"/>
        </w:rPr>
        <w:t xml:space="preserve">O valor total dos </w:t>
      </w:r>
      <w:r w:rsidRPr="00D12AC6">
        <w:rPr>
          <w:rFonts w:ascii="Verdana" w:hAnsi="Verdana" w:cs="Arial"/>
          <w:color w:val="000000" w:themeColor="text1"/>
          <w:u w:val="single"/>
        </w:rPr>
        <w:t>Honorários Sucumbenciais</w:t>
      </w:r>
      <w:r w:rsidRPr="00D12AC6">
        <w:rPr>
          <w:rFonts w:ascii="Verdana" w:hAnsi="Verdana" w:cs="Arial"/>
          <w:color w:val="000000" w:themeColor="text1"/>
        </w:rPr>
        <w:t xml:space="preserve"> será dividido por igual entre o número de advogados integrantes da GJU e que aten</w:t>
      </w:r>
      <w:r w:rsidR="00D12AC6">
        <w:rPr>
          <w:rFonts w:ascii="Verdana" w:hAnsi="Verdana" w:cs="Arial"/>
          <w:color w:val="000000" w:themeColor="text1"/>
        </w:rPr>
        <w:t>derem aos requisitos dos itens 4</w:t>
      </w:r>
      <w:r w:rsidRPr="00D12AC6">
        <w:rPr>
          <w:rFonts w:ascii="Verdana" w:hAnsi="Verdana" w:cs="Arial"/>
          <w:color w:val="000000" w:themeColor="text1"/>
        </w:rPr>
        <w:t>.1</w:t>
      </w:r>
      <w:r w:rsidR="00D12AC6">
        <w:rPr>
          <w:rFonts w:ascii="Verdana" w:hAnsi="Verdana" w:cs="Arial"/>
          <w:color w:val="000000" w:themeColor="text1"/>
        </w:rPr>
        <w:t>.3</w:t>
      </w:r>
      <w:r w:rsidRPr="00D12AC6">
        <w:rPr>
          <w:rFonts w:ascii="Verdana" w:hAnsi="Verdana" w:cs="Arial"/>
          <w:color w:val="000000" w:themeColor="text1"/>
        </w:rPr>
        <w:t xml:space="preserve"> a </w:t>
      </w:r>
      <w:r w:rsidR="00D12AC6">
        <w:rPr>
          <w:rFonts w:ascii="Verdana" w:hAnsi="Verdana" w:cs="Arial"/>
          <w:color w:val="000000" w:themeColor="text1"/>
        </w:rPr>
        <w:t>4.1.5.</w:t>
      </w:r>
      <w:r w:rsidRPr="00D12AC6">
        <w:rPr>
          <w:rFonts w:ascii="Verdana" w:hAnsi="Verdana" w:cs="Arial"/>
          <w:color w:val="000000" w:themeColor="text1"/>
        </w:rPr>
        <w:t xml:space="preserve"> </w:t>
      </w:r>
    </w:p>
    <w:p w:rsidR="00373B45" w:rsidRPr="00373B45" w:rsidRDefault="00373B45" w:rsidP="0017436C">
      <w:pPr>
        <w:pStyle w:val="BodyText2"/>
        <w:numPr>
          <w:ilvl w:val="2"/>
          <w:numId w:val="2"/>
        </w:numPr>
        <w:autoSpaceDE/>
        <w:autoSpaceDN/>
        <w:adjustRightInd/>
        <w:spacing w:line="240" w:lineRule="auto"/>
        <w:ind w:left="0" w:firstLine="0"/>
        <w:contextualSpacing/>
        <w:jc w:val="both"/>
        <w:rPr>
          <w:rFonts w:ascii="Verdana" w:hAnsi="Verdana" w:cs="Arial"/>
          <w:color w:val="000000" w:themeColor="text1"/>
        </w:rPr>
      </w:pPr>
      <w:r w:rsidRPr="00373B45">
        <w:rPr>
          <w:rFonts w:ascii="Verdana" w:hAnsi="Verdana" w:cs="Arial"/>
          <w:color w:val="000000" w:themeColor="text1"/>
        </w:rPr>
        <w:t xml:space="preserve">Em regra, os </w:t>
      </w:r>
      <w:r w:rsidRPr="00373B45">
        <w:rPr>
          <w:rFonts w:ascii="Verdana" w:hAnsi="Verdana" w:cs="Arial"/>
          <w:color w:val="000000" w:themeColor="text1"/>
          <w:u w:val="single"/>
        </w:rPr>
        <w:t>Honorários Sucumbenciais</w:t>
      </w:r>
      <w:r w:rsidRPr="00373B45">
        <w:rPr>
          <w:rFonts w:ascii="Verdana" w:hAnsi="Verdana" w:cs="Arial"/>
          <w:color w:val="000000" w:themeColor="text1"/>
        </w:rPr>
        <w:t xml:space="preserve"> não serão objeto de negociação ou renúncia, restando como item indisponível das negociações judiciais ou extrajudiciais. Dispõe o atual Código de Processo Civil (Lei nº 13.105/15), em seu art. 85, §14: “os honorários constituem direito do advogado e têm natureza alimentar, com os mesmos privilégios dos créditos oriundos da legislação do trabalho, sendo vedada a compensação em caso de sucumbência parcial. ” </w:t>
      </w:r>
    </w:p>
    <w:p w:rsidR="00373B45" w:rsidRDefault="00A01C00" w:rsidP="0017436C">
      <w:pPr>
        <w:pStyle w:val="BodyText2"/>
        <w:numPr>
          <w:ilvl w:val="2"/>
          <w:numId w:val="2"/>
        </w:numPr>
        <w:autoSpaceDE/>
        <w:autoSpaceDN/>
        <w:adjustRightInd/>
        <w:spacing w:line="240" w:lineRule="auto"/>
        <w:ind w:left="0" w:firstLine="0"/>
        <w:contextualSpacing/>
        <w:jc w:val="both"/>
        <w:rPr>
          <w:rFonts w:ascii="Verdana" w:hAnsi="Verdana" w:cs="Arial"/>
          <w:color w:val="000000" w:themeColor="text1"/>
        </w:rPr>
      </w:pPr>
      <w:r w:rsidRPr="00D12AC6">
        <w:rPr>
          <w:rFonts w:ascii="Verdana" w:hAnsi="Verdana" w:cs="Arial"/>
          <w:color w:val="000000" w:themeColor="text1"/>
        </w:rPr>
        <w:t xml:space="preserve">Qualquer renúncia ou negociação (parcelamento, desconto, postergação ou termo) relativa aos </w:t>
      </w:r>
      <w:r w:rsidRPr="00373B45">
        <w:rPr>
          <w:rFonts w:ascii="Verdana" w:hAnsi="Verdana" w:cs="Arial"/>
          <w:color w:val="000000" w:themeColor="text1"/>
          <w:u w:val="single"/>
        </w:rPr>
        <w:t>Honorários Sucumbenciais</w:t>
      </w:r>
      <w:r w:rsidRPr="00D12AC6">
        <w:rPr>
          <w:rFonts w:ascii="Verdana" w:hAnsi="Verdana" w:cs="Arial"/>
          <w:color w:val="000000" w:themeColor="text1"/>
        </w:rPr>
        <w:t xml:space="preserve"> serão feitas apenas em caráter excepcional e dependerão de deliberação expressa, por maioria, do corpo de advogados da GJU.</w:t>
      </w:r>
    </w:p>
    <w:p w:rsidR="00373B45" w:rsidRPr="00373B45" w:rsidRDefault="00373B45" w:rsidP="0017436C">
      <w:pPr>
        <w:pStyle w:val="BodyText2"/>
        <w:numPr>
          <w:ilvl w:val="2"/>
          <w:numId w:val="2"/>
        </w:numPr>
        <w:autoSpaceDE/>
        <w:autoSpaceDN/>
        <w:adjustRightInd/>
        <w:spacing w:line="240" w:lineRule="auto"/>
        <w:ind w:left="0" w:firstLine="0"/>
        <w:contextualSpacing/>
        <w:jc w:val="both"/>
        <w:rPr>
          <w:rFonts w:ascii="Verdana" w:hAnsi="Verdana" w:cs="Arial"/>
          <w:color w:val="000000" w:themeColor="text1"/>
        </w:rPr>
      </w:pPr>
      <w:r w:rsidRPr="00373B45">
        <w:rPr>
          <w:rFonts w:ascii="Verdana" w:hAnsi="Verdana" w:cs="Arial"/>
          <w:color w:val="000000" w:themeColor="text1"/>
        </w:rPr>
        <w:t xml:space="preserve">Os Honorários Sucumbenciais são fixados em decisão judicial e deverão ser pagos aos advogados conforme arbitrado pelo magistrado da causa, sendo vedado à SP Turismo opor aos advogados qualquer benefício de ordem, em virtude da natureza alimentar da verba honorária (artigo 85, §4º, CPC). </w:t>
      </w:r>
    </w:p>
    <w:p w:rsidR="00373B45" w:rsidRPr="00373B45" w:rsidRDefault="00373B45" w:rsidP="0017436C">
      <w:pPr>
        <w:pStyle w:val="BodyText2"/>
        <w:numPr>
          <w:ilvl w:val="2"/>
          <w:numId w:val="2"/>
        </w:numPr>
        <w:autoSpaceDE/>
        <w:autoSpaceDN/>
        <w:adjustRightInd/>
        <w:spacing w:line="240" w:lineRule="auto"/>
        <w:ind w:left="0" w:firstLine="0"/>
        <w:contextualSpacing/>
        <w:jc w:val="both"/>
        <w:rPr>
          <w:rFonts w:ascii="Verdana" w:hAnsi="Verdana" w:cs="Arial"/>
          <w:color w:val="000000" w:themeColor="text1"/>
        </w:rPr>
      </w:pPr>
      <w:r w:rsidRPr="00373B45">
        <w:rPr>
          <w:rFonts w:ascii="Verdana" w:hAnsi="Verdana" w:cs="Arial"/>
          <w:color w:val="000000" w:themeColor="text1"/>
        </w:rPr>
        <w:t xml:space="preserve">Na hipótese de levantamento parcial do valor da condenação, os advogados da GJU terão direito, pari passu, ao recebimento proporcional dos Honorários Sucumbenciais de cada levantamento parcial, nos termos fixados pelo Magistrado da causa quando da condenação, sendo vedado à SP Turismo opor aos advogados benefício de ordem, em virtude da natureza alimentar da verba honorária (artigo 85, §4º, CPC). </w:t>
      </w:r>
    </w:p>
    <w:p w:rsidR="00375500" w:rsidRDefault="00A01C00" w:rsidP="0017436C">
      <w:pPr>
        <w:pStyle w:val="BodyText2"/>
        <w:numPr>
          <w:ilvl w:val="2"/>
          <w:numId w:val="2"/>
        </w:numPr>
        <w:autoSpaceDE/>
        <w:autoSpaceDN/>
        <w:adjustRightInd/>
        <w:spacing w:line="240" w:lineRule="auto"/>
        <w:ind w:left="0" w:firstLine="0"/>
        <w:contextualSpacing/>
        <w:jc w:val="both"/>
        <w:rPr>
          <w:rFonts w:ascii="Verdana" w:hAnsi="Verdana" w:cs="Arial"/>
          <w:color w:val="000000" w:themeColor="text1"/>
        </w:rPr>
      </w:pPr>
      <w:r w:rsidRPr="00D12AC6">
        <w:rPr>
          <w:rFonts w:ascii="Verdana" w:hAnsi="Verdana" w:cs="Arial"/>
          <w:color w:val="000000" w:themeColor="text1"/>
        </w:rPr>
        <w:t xml:space="preserve">A eventual revogação da presente norma, conforme previsto em lei, não excluirá o direito dos advogados efetivamente integrantes do quadro de advogados da GJU ao recebimento dos </w:t>
      </w:r>
      <w:r w:rsidRPr="00D12AC6">
        <w:rPr>
          <w:rFonts w:ascii="Verdana" w:hAnsi="Verdana" w:cs="Arial"/>
          <w:color w:val="000000" w:themeColor="text1"/>
          <w:u w:val="single"/>
        </w:rPr>
        <w:t>Honorários Sucumbenciais</w:t>
      </w:r>
      <w:r w:rsidRPr="00D12AC6">
        <w:rPr>
          <w:rFonts w:ascii="Verdana" w:hAnsi="Verdana" w:cs="Arial"/>
          <w:color w:val="000000" w:themeColor="text1"/>
        </w:rPr>
        <w:t xml:space="preserve"> conforme aqui previstos.</w:t>
      </w:r>
    </w:p>
    <w:p w:rsidR="00927544" w:rsidRPr="00D12AC6" w:rsidRDefault="00927544" w:rsidP="00050037">
      <w:pPr>
        <w:pStyle w:val="BodyText2"/>
        <w:autoSpaceDE/>
        <w:autoSpaceDN/>
        <w:adjustRightInd/>
        <w:spacing w:before="120" w:after="120" w:line="240" w:lineRule="auto"/>
        <w:contextualSpacing/>
        <w:jc w:val="both"/>
        <w:rPr>
          <w:rFonts w:ascii="Verdana" w:hAnsi="Verdana" w:cs="Arial"/>
          <w:color w:val="000000" w:themeColor="text1"/>
        </w:rPr>
      </w:pPr>
    </w:p>
    <w:p w:rsidR="00074482" w:rsidRPr="00D12AC6" w:rsidRDefault="00074482" w:rsidP="00050037">
      <w:pPr>
        <w:pStyle w:val="BodyText2"/>
        <w:numPr>
          <w:ilvl w:val="1"/>
          <w:numId w:val="2"/>
        </w:numPr>
        <w:autoSpaceDE/>
        <w:autoSpaceDN/>
        <w:adjustRightInd/>
        <w:spacing w:before="120" w:after="120" w:line="240" w:lineRule="auto"/>
        <w:ind w:left="0" w:firstLine="0"/>
        <w:contextualSpacing/>
        <w:jc w:val="both"/>
        <w:rPr>
          <w:rFonts w:ascii="Verdana" w:hAnsi="Verdana" w:cs="Arial"/>
          <w:b/>
          <w:color w:val="000000" w:themeColor="text1"/>
        </w:rPr>
      </w:pPr>
      <w:r w:rsidRPr="00D12AC6">
        <w:rPr>
          <w:rFonts w:ascii="Verdana" w:hAnsi="Verdana" w:cs="Arial"/>
          <w:b/>
          <w:color w:val="000000" w:themeColor="text1"/>
        </w:rPr>
        <w:t>P</w:t>
      </w:r>
      <w:r w:rsidR="00A01C00" w:rsidRPr="00D12AC6">
        <w:rPr>
          <w:rFonts w:ascii="Verdana" w:hAnsi="Verdana" w:cs="Arial"/>
          <w:b/>
          <w:color w:val="000000" w:themeColor="text1"/>
        </w:rPr>
        <w:t>rocedimentos</w:t>
      </w:r>
    </w:p>
    <w:p w:rsidR="00373B45" w:rsidRDefault="00373B45" w:rsidP="00023F92">
      <w:pPr>
        <w:pStyle w:val="BodyText2"/>
        <w:numPr>
          <w:ilvl w:val="2"/>
          <w:numId w:val="2"/>
        </w:numPr>
        <w:autoSpaceDE/>
        <w:autoSpaceDN/>
        <w:adjustRightInd/>
        <w:spacing w:before="120" w:after="120" w:line="240" w:lineRule="auto"/>
        <w:ind w:left="0" w:firstLine="0"/>
        <w:contextualSpacing/>
        <w:jc w:val="both"/>
        <w:rPr>
          <w:rFonts w:ascii="Verdana" w:hAnsi="Verdana" w:cs="Arial"/>
          <w:color w:val="000000" w:themeColor="text1"/>
        </w:rPr>
      </w:pPr>
      <w:r w:rsidRPr="00373B45">
        <w:rPr>
          <w:rFonts w:ascii="Verdana" w:hAnsi="Verdana" w:cs="Arial"/>
          <w:color w:val="000000" w:themeColor="text1"/>
        </w:rPr>
        <w:t xml:space="preserve">Quando do levantamento de verbas de sucumbência, a GJU enviará CI (Correspondência Interna) à GDC (Gerência de Controladoria) e à GRH, com cópia para a PRG (Chefia de Gabinete), num prazo de até três dias úteis após o depósito, contendo as seguintes informações: </w:t>
      </w:r>
    </w:p>
    <w:p w:rsidR="00373B45" w:rsidRDefault="00FB58E2" w:rsidP="00050037">
      <w:pPr>
        <w:pStyle w:val="BodyText2"/>
        <w:numPr>
          <w:ilvl w:val="3"/>
          <w:numId w:val="17"/>
        </w:numPr>
        <w:autoSpaceDE/>
        <w:autoSpaceDN/>
        <w:adjustRightInd/>
        <w:spacing w:before="120" w:after="120" w:line="240" w:lineRule="auto"/>
        <w:ind w:left="0" w:firstLine="0"/>
        <w:contextualSpacing/>
        <w:jc w:val="both"/>
        <w:rPr>
          <w:rFonts w:ascii="Verdana" w:hAnsi="Verdana" w:cs="Arial"/>
          <w:color w:val="000000" w:themeColor="text1"/>
        </w:rPr>
      </w:pPr>
      <w:r w:rsidRPr="00373B45">
        <w:rPr>
          <w:rFonts w:ascii="Verdana" w:hAnsi="Verdana" w:cs="Arial"/>
          <w:color w:val="000000" w:themeColor="text1"/>
        </w:rPr>
        <w:t xml:space="preserve">Dados completos da ação, composto pelos seguintes itens: </w:t>
      </w:r>
      <w:r w:rsidR="00A01C00" w:rsidRPr="00373B45">
        <w:rPr>
          <w:rFonts w:ascii="Verdana" w:hAnsi="Verdana" w:cs="Arial"/>
          <w:color w:val="000000" w:themeColor="text1"/>
        </w:rPr>
        <w:t>partes</w:t>
      </w:r>
      <w:r w:rsidR="001C761E" w:rsidRPr="00373B45">
        <w:rPr>
          <w:rFonts w:ascii="Verdana" w:hAnsi="Verdana" w:cs="Arial"/>
          <w:color w:val="000000" w:themeColor="text1"/>
        </w:rPr>
        <w:t xml:space="preserve"> (inclusive CPF/CNPJ)</w:t>
      </w:r>
      <w:r w:rsidR="00A01C00" w:rsidRPr="00373B45">
        <w:rPr>
          <w:rFonts w:ascii="Verdana" w:hAnsi="Verdana" w:cs="Arial"/>
          <w:color w:val="000000" w:themeColor="text1"/>
        </w:rPr>
        <w:t>, nº do proces</w:t>
      </w:r>
      <w:r w:rsidRPr="00373B45">
        <w:rPr>
          <w:rFonts w:ascii="Verdana" w:hAnsi="Verdana" w:cs="Arial"/>
          <w:color w:val="000000" w:themeColor="text1"/>
        </w:rPr>
        <w:t>so, vara e foro em que tramitou</w:t>
      </w:r>
      <w:r w:rsidR="001D5411" w:rsidRPr="00373B45">
        <w:rPr>
          <w:rFonts w:ascii="Verdana" w:hAnsi="Verdana" w:cs="Arial"/>
          <w:color w:val="000000" w:themeColor="text1"/>
        </w:rPr>
        <w:t>;</w:t>
      </w:r>
    </w:p>
    <w:p w:rsidR="00373B45" w:rsidRDefault="00A01C00" w:rsidP="00050037">
      <w:pPr>
        <w:pStyle w:val="BodyText2"/>
        <w:numPr>
          <w:ilvl w:val="3"/>
          <w:numId w:val="17"/>
        </w:numPr>
        <w:autoSpaceDE/>
        <w:autoSpaceDN/>
        <w:adjustRightInd/>
        <w:spacing w:before="120" w:after="120" w:line="240" w:lineRule="auto"/>
        <w:ind w:left="0" w:firstLine="0"/>
        <w:contextualSpacing/>
        <w:jc w:val="both"/>
        <w:rPr>
          <w:rFonts w:ascii="Verdana" w:hAnsi="Verdana" w:cs="Arial"/>
          <w:color w:val="000000" w:themeColor="text1"/>
        </w:rPr>
      </w:pPr>
      <w:r w:rsidRPr="00373B45">
        <w:rPr>
          <w:rFonts w:ascii="Verdana" w:hAnsi="Verdana" w:cs="Arial"/>
          <w:color w:val="000000" w:themeColor="text1"/>
        </w:rPr>
        <w:t>Valor do depósito, com a discriminação (i) dos valores relativos aos Honorários Sucumbenciais (artigo 21, caput, da Lei nº 8.906/94, a ser dividido entre os advogados da GJU), (ii) das custas despendidas no processo e que serão restituídas à SP</w:t>
      </w:r>
      <w:r w:rsidR="00A2206C" w:rsidRPr="00373B45">
        <w:rPr>
          <w:rFonts w:ascii="Verdana" w:hAnsi="Verdana" w:cs="Arial"/>
          <w:color w:val="000000" w:themeColor="text1"/>
        </w:rPr>
        <w:t xml:space="preserve"> </w:t>
      </w:r>
      <w:r w:rsidRPr="00373B45">
        <w:rPr>
          <w:rFonts w:ascii="Verdana" w:hAnsi="Verdana" w:cs="Arial"/>
          <w:color w:val="000000" w:themeColor="text1"/>
        </w:rPr>
        <w:t>Turis</w:t>
      </w:r>
      <w:r w:rsidR="00A2206C" w:rsidRPr="00373B45">
        <w:rPr>
          <w:rFonts w:ascii="Verdana" w:hAnsi="Verdana" w:cs="Arial"/>
          <w:color w:val="000000" w:themeColor="text1"/>
        </w:rPr>
        <w:t>mo</w:t>
      </w:r>
      <w:r w:rsidRPr="00373B45">
        <w:rPr>
          <w:rFonts w:ascii="Verdana" w:hAnsi="Verdana" w:cs="Arial"/>
          <w:color w:val="000000" w:themeColor="text1"/>
        </w:rPr>
        <w:t>, e (iii) dos valores recebidos da parte contrária em razão da condenação;</w:t>
      </w:r>
    </w:p>
    <w:p w:rsidR="00373B45" w:rsidRDefault="00A01C00" w:rsidP="00050037">
      <w:pPr>
        <w:pStyle w:val="BodyText2"/>
        <w:numPr>
          <w:ilvl w:val="3"/>
          <w:numId w:val="17"/>
        </w:numPr>
        <w:autoSpaceDE/>
        <w:autoSpaceDN/>
        <w:adjustRightInd/>
        <w:spacing w:before="120" w:after="120" w:line="240" w:lineRule="auto"/>
        <w:ind w:left="0" w:firstLine="0"/>
        <w:contextualSpacing/>
        <w:jc w:val="both"/>
        <w:rPr>
          <w:rFonts w:ascii="Verdana" w:hAnsi="Verdana" w:cs="Arial"/>
          <w:color w:val="000000" w:themeColor="text1"/>
        </w:rPr>
      </w:pPr>
      <w:r w:rsidRPr="00373B45">
        <w:rPr>
          <w:rFonts w:ascii="Verdana" w:hAnsi="Verdana" w:cs="Arial"/>
          <w:color w:val="000000" w:themeColor="text1"/>
        </w:rPr>
        <w:t>Cópia da guia depositada no banco competente;</w:t>
      </w:r>
    </w:p>
    <w:p w:rsidR="00074482" w:rsidRPr="00373B45" w:rsidRDefault="00A01C00" w:rsidP="00050037">
      <w:pPr>
        <w:pStyle w:val="BodyText2"/>
        <w:numPr>
          <w:ilvl w:val="3"/>
          <w:numId w:val="17"/>
        </w:numPr>
        <w:autoSpaceDE/>
        <w:autoSpaceDN/>
        <w:adjustRightInd/>
        <w:spacing w:before="120" w:after="120" w:line="240" w:lineRule="auto"/>
        <w:ind w:left="0" w:firstLine="0"/>
        <w:contextualSpacing/>
        <w:jc w:val="both"/>
        <w:rPr>
          <w:rFonts w:ascii="Verdana" w:hAnsi="Verdana" w:cs="Arial"/>
          <w:color w:val="000000" w:themeColor="text1"/>
        </w:rPr>
      </w:pPr>
      <w:r w:rsidRPr="00373B45">
        <w:rPr>
          <w:rFonts w:ascii="Verdana" w:hAnsi="Verdana" w:cs="Arial"/>
          <w:color w:val="000000" w:themeColor="text1"/>
        </w:rPr>
        <w:t>Relação dos advogados da GJU que fazem jus ao rateio e o valor da quota parte de cada um dos Honorários Sucumbenciais.</w:t>
      </w:r>
    </w:p>
    <w:p w:rsidR="00963BBA" w:rsidRDefault="00963BBA" w:rsidP="00023F92">
      <w:pPr>
        <w:pStyle w:val="BodyText2"/>
        <w:numPr>
          <w:ilvl w:val="2"/>
          <w:numId w:val="2"/>
        </w:numPr>
        <w:autoSpaceDE/>
        <w:autoSpaceDN/>
        <w:adjustRightInd/>
        <w:spacing w:before="120" w:after="120" w:line="240" w:lineRule="auto"/>
        <w:ind w:left="0" w:firstLine="0"/>
        <w:contextualSpacing/>
        <w:jc w:val="both"/>
        <w:rPr>
          <w:rFonts w:ascii="Verdana" w:hAnsi="Verdana" w:cs="Arial"/>
          <w:color w:val="000000" w:themeColor="text1"/>
        </w:rPr>
      </w:pPr>
      <w:r w:rsidRPr="00963BBA">
        <w:rPr>
          <w:rFonts w:ascii="Verdana" w:hAnsi="Verdana" w:cs="Arial"/>
          <w:color w:val="000000" w:themeColor="text1"/>
        </w:rPr>
        <w:t xml:space="preserve">O pagamento dos Honorários Sucumbenciais aos advogados será feito até o último dia útil de cada mês, referente aos valores que tenham sido creditados na conta da SP Turismo e devidamente solicitados pela GJU até o dia 20 (vinte) do respectivo mês. Valores creditados e as solicitações recebidas após o dia 20 (vinte), os </w:t>
      </w:r>
      <w:r w:rsidRPr="00963BBA">
        <w:rPr>
          <w:rFonts w:ascii="Verdana" w:hAnsi="Verdana" w:cs="Arial"/>
          <w:color w:val="000000" w:themeColor="text1"/>
        </w:rPr>
        <w:lastRenderedPageBreak/>
        <w:t xml:space="preserve">Honorários Sucumbenciais deverão ser repassados, impreterivelmente, até o último dia útil do mês subsequente. </w:t>
      </w:r>
    </w:p>
    <w:p w:rsidR="00963BBA" w:rsidRPr="00963BBA" w:rsidRDefault="00963BBA" w:rsidP="00023F92">
      <w:pPr>
        <w:pStyle w:val="BodyText2"/>
        <w:numPr>
          <w:ilvl w:val="2"/>
          <w:numId w:val="2"/>
        </w:numPr>
        <w:autoSpaceDE/>
        <w:autoSpaceDN/>
        <w:adjustRightInd/>
        <w:spacing w:before="120" w:after="120" w:line="240" w:lineRule="auto"/>
        <w:ind w:left="0" w:firstLine="0"/>
        <w:contextualSpacing/>
        <w:jc w:val="both"/>
        <w:rPr>
          <w:rFonts w:ascii="Verdana" w:hAnsi="Verdana" w:cs="Arial"/>
          <w:color w:val="000000" w:themeColor="text1"/>
        </w:rPr>
      </w:pPr>
      <w:r w:rsidRPr="00963BBA">
        <w:rPr>
          <w:rFonts w:ascii="Verdana" w:hAnsi="Verdana" w:cs="Arial"/>
          <w:color w:val="000000" w:themeColor="text1"/>
        </w:rPr>
        <w:t>Em caso de não ser efetuado o pagamento dos Honorários Sucumbenciais até o último dia útil de cada mês, conforme especificado na cláusula 4.2.2 acima, haverá incidência de juros moratórios de 1% ao mês, p</w:t>
      </w:r>
      <w:r w:rsidR="0017436C">
        <w:rPr>
          <w:rFonts w:ascii="Verdana" w:hAnsi="Verdana" w:cs="Arial"/>
          <w:color w:val="000000" w:themeColor="text1"/>
        </w:rPr>
        <w:t>ara</w:t>
      </w:r>
      <w:r w:rsidRPr="00963BBA">
        <w:rPr>
          <w:rFonts w:ascii="Verdana" w:hAnsi="Verdana" w:cs="Arial"/>
          <w:color w:val="000000" w:themeColor="text1"/>
        </w:rPr>
        <w:t xml:space="preserve"> rata die, e correção monetária pelo índice da Tabela Prática do Tribunal de Justiça do Estado de São Paulo, ou outro que vier a substituí-lo.</w:t>
      </w:r>
      <w:r w:rsidRPr="00023F92">
        <w:rPr>
          <w:rFonts w:ascii="Verdana" w:hAnsi="Verdana" w:cs="Arial"/>
          <w:color w:val="000000" w:themeColor="text1"/>
        </w:rPr>
        <w:t xml:space="preserve"> </w:t>
      </w:r>
    </w:p>
    <w:p w:rsidR="00074482" w:rsidRPr="00963BBA" w:rsidRDefault="00074482" w:rsidP="00023F92">
      <w:pPr>
        <w:pStyle w:val="BodyText2"/>
        <w:numPr>
          <w:ilvl w:val="2"/>
          <w:numId w:val="2"/>
        </w:numPr>
        <w:autoSpaceDE/>
        <w:autoSpaceDN/>
        <w:adjustRightInd/>
        <w:spacing w:before="120" w:after="120" w:line="240" w:lineRule="auto"/>
        <w:ind w:left="0" w:firstLine="0"/>
        <w:contextualSpacing/>
        <w:jc w:val="both"/>
        <w:rPr>
          <w:rFonts w:ascii="Verdana" w:hAnsi="Verdana" w:cs="Arial"/>
          <w:color w:val="000000" w:themeColor="text1"/>
        </w:rPr>
      </w:pPr>
      <w:r w:rsidRPr="00963BBA">
        <w:rPr>
          <w:rFonts w:ascii="Verdana" w:hAnsi="Verdana" w:cs="Arial"/>
          <w:color w:val="000000" w:themeColor="text1"/>
        </w:rPr>
        <w:t xml:space="preserve"> </w:t>
      </w:r>
      <w:r w:rsidR="00963BBA" w:rsidRPr="00963BBA">
        <w:rPr>
          <w:rFonts w:ascii="Verdana" w:hAnsi="Verdana" w:cs="Arial"/>
          <w:color w:val="000000" w:themeColor="text1"/>
        </w:rPr>
        <w:t>O pagamento poderá ser realizado por meio de cheque nominal a cada advogado ou mediante outro formato de pagamento que venha a ser aprovado pela GDC e DAF (Diretoria Administrativo-Financeira e de Relação com Investidores).</w:t>
      </w:r>
    </w:p>
    <w:p w:rsidR="00074482" w:rsidRPr="00D12AC6" w:rsidRDefault="00074482" w:rsidP="00023F92">
      <w:pPr>
        <w:pStyle w:val="BodyText2"/>
        <w:numPr>
          <w:ilvl w:val="2"/>
          <w:numId w:val="2"/>
        </w:numPr>
        <w:autoSpaceDE/>
        <w:autoSpaceDN/>
        <w:adjustRightInd/>
        <w:spacing w:before="120" w:after="120" w:line="240" w:lineRule="auto"/>
        <w:ind w:left="0" w:firstLine="0"/>
        <w:contextualSpacing/>
        <w:jc w:val="both"/>
        <w:rPr>
          <w:rFonts w:ascii="Verdana" w:hAnsi="Verdana" w:cs="Arial"/>
          <w:color w:val="000000" w:themeColor="text1"/>
        </w:rPr>
      </w:pPr>
      <w:r w:rsidRPr="00D12AC6">
        <w:rPr>
          <w:rFonts w:ascii="Verdana" w:hAnsi="Verdana" w:cs="Arial"/>
          <w:color w:val="000000" w:themeColor="text1"/>
        </w:rPr>
        <w:t xml:space="preserve"> </w:t>
      </w:r>
      <w:r w:rsidR="00963BBA" w:rsidRPr="00963BBA">
        <w:rPr>
          <w:rFonts w:ascii="Verdana" w:hAnsi="Verdana" w:cs="Arial"/>
          <w:color w:val="000000" w:themeColor="text1"/>
        </w:rPr>
        <w:t xml:space="preserve">Quando o pagamento for realizado por meio de cheque, este será nominal a cada advogado, e sua entrega se dará mediante a assinatura de recibo, que deverá conter expressamente que sua validade está condicionada à efetiva compensação e provimento do cheque e que o pagamento se refere a </w:t>
      </w:r>
      <w:r w:rsidR="00963BBA" w:rsidRPr="00023F92">
        <w:rPr>
          <w:rFonts w:ascii="Verdana" w:hAnsi="Verdana" w:cs="Arial"/>
          <w:color w:val="000000" w:themeColor="text1"/>
        </w:rPr>
        <w:t>Honorários Sucumbenciais</w:t>
      </w:r>
      <w:r w:rsidR="00963BBA" w:rsidRPr="00963BBA">
        <w:rPr>
          <w:rFonts w:ascii="Verdana" w:hAnsi="Verdana" w:cs="Arial"/>
          <w:color w:val="000000" w:themeColor="text1"/>
        </w:rPr>
        <w:t>.</w:t>
      </w:r>
    </w:p>
    <w:p w:rsidR="00074482" w:rsidRPr="00D12AC6" w:rsidRDefault="00074482" w:rsidP="00023F92">
      <w:pPr>
        <w:pStyle w:val="BodyText2"/>
        <w:numPr>
          <w:ilvl w:val="2"/>
          <w:numId w:val="2"/>
        </w:numPr>
        <w:autoSpaceDE/>
        <w:autoSpaceDN/>
        <w:adjustRightInd/>
        <w:spacing w:before="120" w:after="120" w:line="240" w:lineRule="auto"/>
        <w:ind w:left="0" w:firstLine="0"/>
        <w:contextualSpacing/>
        <w:jc w:val="both"/>
        <w:rPr>
          <w:rFonts w:ascii="Verdana" w:hAnsi="Verdana" w:cs="Arial"/>
          <w:color w:val="000000" w:themeColor="text1"/>
        </w:rPr>
      </w:pPr>
      <w:r w:rsidRPr="00D12AC6">
        <w:rPr>
          <w:rFonts w:ascii="Verdana" w:hAnsi="Verdana" w:cs="Arial"/>
          <w:color w:val="000000" w:themeColor="text1"/>
        </w:rPr>
        <w:t xml:space="preserve"> </w:t>
      </w:r>
      <w:r w:rsidR="00963BBA" w:rsidRPr="00963BBA">
        <w:rPr>
          <w:rFonts w:ascii="Verdana" w:hAnsi="Verdana" w:cs="Arial"/>
          <w:color w:val="000000" w:themeColor="text1"/>
        </w:rPr>
        <w:t xml:space="preserve">Se o pagamento for efetuado por meio de depósito na conta corrente de cada advogado, o comprovante de depósito será considerado comprovante de pagamento, devendo a GDC e a DAF indicar especificando que tal pagamento é referente a </w:t>
      </w:r>
      <w:r w:rsidR="00963BBA" w:rsidRPr="00023F92">
        <w:rPr>
          <w:rFonts w:ascii="Verdana" w:hAnsi="Verdana" w:cs="Arial"/>
          <w:color w:val="000000" w:themeColor="text1"/>
        </w:rPr>
        <w:t>Honorários Sucumbenciais</w:t>
      </w:r>
      <w:r w:rsidR="00963BBA" w:rsidRPr="00963BBA">
        <w:rPr>
          <w:rFonts w:ascii="Verdana" w:hAnsi="Verdana" w:cs="Arial"/>
          <w:color w:val="000000" w:themeColor="text1"/>
        </w:rPr>
        <w:t>, não se confundindo, tal valor, sob nenhuma hipótese, com verbas salariais, trabalhistas e/ou outras.</w:t>
      </w:r>
    </w:p>
    <w:p w:rsidR="00074482" w:rsidRDefault="00963BBA" w:rsidP="00023F92">
      <w:pPr>
        <w:pStyle w:val="BodyText2"/>
        <w:numPr>
          <w:ilvl w:val="2"/>
          <w:numId w:val="2"/>
        </w:numPr>
        <w:autoSpaceDE/>
        <w:autoSpaceDN/>
        <w:adjustRightInd/>
        <w:spacing w:before="120" w:after="120" w:line="240" w:lineRule="auto"/>
        <w:ind w:left="0" w:firstLine="0"/>
        <w:contextualSpacing/>
        <w:jc w:val="both"/>
        <w:rPr>
          <w:rFonts w:ascii="Verdana" w:hAnsi="Verdana" w:cs="Arial"/>
          <w:color w:val="000000" w:themeColor="text1"/>
        </w:rPr>
      </w:pPr>
      <w:r w:rsidRPr="00963BBA">
        <w:rPr>
          <w:rFonts w:ascii="Verdana" w:hAnsi="Verdana" w:cs="Arial"/>
          <w:color w:val="000000" w:themeColor="text1"/>
        </w:rPr>
        <w:t>A GDC deverá informar, tempestivamente, à Gerência de Recursos Humanos – GRH, todos os valores pagos a título de Honorários Sucumbenciais, bem como indicar todos os dados do processo judicial que deu origem aos valores, para que a GRH indique esses valores no demonstrativo de rendimentos anuais, fornecido pela GRH aos advogados, no prazo previsto pela legislação que regula o imposto de renda.</w:t>
      </w:r>
    </w:p>
    <w:p w:rsidR="00927544" w:rsidRPr="00D12AC6" w:rsidRDefault="00927544" w:rsidP="00050037">
      <w:pPr>
        <w:pStyle w:val="BodyText2"/>
        <w:autoSpaceDE/>
        <w:autoSpaceDN/>
        <w:adjustRightInd/>
        <w:spacing w:before="120" w:after="120" w:line="240" w:lineRule="auto"/>
        <w:contextualSpacing/>
        <w:jc w:val="both"/>
        <w:rPr>
          <w:rFonts w:ascii="Verdana" w:hAnsi="Verdana" w:cs="Arial"/>
          <w:color w:val="000000" w:themeColor="text1"/>
        </w:rPr>
      </w:pPr>
    </w:p>
    <w:p w:rsidR="00074482" w:rsidRPr="00D12AC6" w:rsidRDefault="00074482" w:rsidP="0017436C">
      <w:pPr>
        <w:pStyle w:val="BodyText2"/>
        <w:numPr>
          <w:ilvl w:val="1"/>
          <w:numId w:val="2"/>
        </w:numPr>
        <w:autoSpaceDE/>
        <w:autoSpaceDN/>
        <w:adjustRightInd/>
        <w:spacing w:line="240" w:lineRule="auto"/>
        <w:ind w:left="426"/>
        <w:contextualSpacing/>
        <w:jc w:val="both"/>
        <w:rPr>
          <w:rFonts w:ascii="Verdana" w:hAnsi="Verdana" w:cs="Arial"/>
          <w:b/>
          <w:color w:val="000000" w:themeColor="text1"/>
        </w:rPr>
      </w:pPr>
      <w:r w:rsidRPr="00D12AC6">
        <w:rPr>
          <w:rFonts w:ascii="Verdana" w:hAnsi="Verdana" w:cs="Arial"/>
          <w:b/>
          <w:color w:val="000000" w:themeColor="text1"/>
        </w:rPr>
        <w:t>C</w:t>
      </w:r>
      <w:r w:rsidR="00A01C00" w:rsidRPr="00D12AC6">
        <w:rPr>
          <w:rFonts w:ascii="Verdana" w:hAnsi="Verdana" w:cs="Arial"/>
          <w:b/>
          <w:color w:val="000000" w:themeColor="text1"/>
        </w:rPr>
        <w:t>ompetências</w:t>
      </w:r>
    </w:p>
    <w:p w:rsidR="00023F92" w:rsidRPr="00023F92" w:rsidRDefault="00023F92" w:rsidP="0017436C">
      <w:pPr>
        <w:pStyle w:val="ListParagraph"/>
        <w:numPr>
          <w:ilvl w:val="0"/>
          <w:numId w:val="19"/>
        </w:numPr>
        <w:jc w:val="both"/>
        <w:rPr>
          <w:rFonts w:ascii="Verdana" w:hAnsi="Verdana" w:cs="Arial"/>
          <w:vanish/>
          <w:color w:val="000000" w:themeColor="text1"/>
          <w:sz w:val="20"/>
          <w:szCs w:val="20"/>
        </w:rPr>
      </w:pPr>
    </w:p>
    <w:p w:rsidR="00023F92" w:rsidRPr="00023F92" w:rsidRDefault="00023F92" w:rsidP="0017436C">
      <w:pPr>
        <w:pStyle w:val="ListParagraph"/>
        <w:numPr>
          <w:ilvl w:val="0"/>
          <w:numId w:val="19"/>
        </w:numPr>
        <w:jc w:val="both"/>
        <w:rPr>
          <w:rFonts w:ascii="Verdana" w:hAnsi="Verdana" w:cs="Arial"/>
          <w:vanish/>
          <w:color w:val="000000" w:themeColor="text1"/>
          <w:sz w:val="20"/>
          <w:szCs w:val="20"/>
        </w:rPr>
      </w:pPr>
    </w:p>
    <w:p w:rsidR="00023F92" w:rsidRPr="00023F92" w:rsidRDefault="00023F92" w:rsidP="0017436C">
      <w:pPr>
        <w:pStyle w:val="ListParagraph"/>
        <w:numPr>
          <w:ilvl w:val="1"/>
          <w:numId w:val="19"/>
        </w:numPr>
        <w:jc w:val="both"/>
        <w:rPr>
          <w:rFonts w:ascii="Verdana" w:hAnsi="Verdana" w:cs="Arial"/>
          <w:vanish/>
          <w:color w:val="000000" w:themeColor="text1"/>
          <w:sz w:val="20"/>
          <w:szCs w:val="20"/>
        </w:rPr>
      </w:pPr>
    </w:p>
    <w:p w:rsidR="00023F92" w:rsidRPr="00023F92" w:rsidRDefault="00023F92" w:rsidP="0017436C">
      <w:pPr>
        <w:pStyle w:val="ListParagraph"/>
        <w:numPr>
          <w:ilvl w:val="1"/>
          <w:numId w:val="19"/>
        </w:numPr>
        <w:jc w:val="both"/>
        <w:rPr>
          <w:rFonts w:ascii="Verdana" w:hAnsi="Verdana" w:cs="Arial"/>
          <w:vanish/>
          <w:color w:val="000000" w:themeColor="text1"/>
          <w:sz w:val="20"/>
          <w:szCs w:val="20"/>
        </w:rPr>
      </w:pPr>
    </w:p>
    <w:p w:rsidR="00023F92" w:rsidRPr="00023F92" w:rsidRDefault="00023F92" w:rsidP="0017436C">
      <w:pPr>
        <w:pStyle w:val="ListParagraph"/>
        <w:numPr>
          <w:ilvl w:val="1"/>
          <w:numId w:val="19"/>
        </w:numPr>
        <w:jc w:val="both"/>
        <w:rPr>
          <w:rFonts w:ascii="Verdana" w:hAnsi="Verdana" w:cs="Arial"/>
          <w:vanish/>
          <w:color w:val="000000" w:themeColor="text1"/>
          <w:sz w:val="20"/>
          <w:szCs w:val="20"/>
        </w:rPr>
      </w:pPr>
    </w:p>
    <w:p w:rsidR="00074482" w:rsidRPr="00D12AC6" w:rsidRDefault="00A01C00" w:rsidP="0017436C">
      <w:pPr>
        <w:pStyle w:val="BodyText2"/>
        <w:numPr>
          <w:ilvl w:val="2"/>
          <w:numId w:val="19"/>
        </w:numPr>
        <w:autoSpaceDE/>
        <w:autoSpaceDN/>
        <w:adjustRightInd/>
        <w:spacing w:line="240" w:lineRule="auto"/>
        <w:ind w:left="0" w:firstLine="0"/>
        <w:contextualSpacing/>
        <w:jc w:val="both"/>
        <w:rPr>
          <w:rFonts w:ascii="Verdana" w:hAnsi="Verdana" w:cs="Arial"/>
          <w:b/>
          <w:color w:val="000000" w:themeColor="text1"/>
        </w:rPr>
      </w:pPr>
      <w:r w:rsidRPr="00D12AC6">
        <w:rPr>
          <w:rFonts w:ascii="Verdana" w:hAnsi="Verdana" w:cs="Arial"/>
          <w:color w:val="000000" w:themeColor="text1"/>
        </w:rPr>
        <w:t xml:space="preserve">Incumbirá à GJU informar (i) os dados completos do processo, (ii) o valor correspondente aos </w:t>
      </w:r>
      <w:r w:rsidRPr="00963BBA">
        <w:rPr>
          <w:rFonts w:ascii="Verdana" w:hAnsi="Verdana" w:cs="Arial"/>
          <w:color w:val="000000" w:themeColor="text1"/>
          <w:u w:val="single"/>
        </w:rPr>
        <w:t>Honorários Sucumbenciais</w:t>
      </w:r>
      <w:r w:rsidRPr="00D12AC6">
        <w:rPr>
          <w:rFonts w:ascii="Verdana" w:hAnsi="Verdana" w:cs="Arial"/>
          <w:color w:val="000000" w:themeColor="text1"/>
        </w:rPr>
        <w:t xml:space="preserve">, (iii) se esse valor corresponde ao valor integral ou parcial dos </w:t>
      </w:r>
      <w:r w:rsidRPr="00963BBA">
        <w:rPr>
          <w:rFonts w:ascii="Verdana" w:hAnsi="Verdana" w:cs="Arial"/>
          <w:color w:val="000000" w:themeColor="text1"/>
          <w:u w:val="single"/>
        </w:rPr>
        <w:t>Honorários Sucumbenciais</w:t>
      </w:r>
      <w:r w:rsidRPr="00D12AC6">
        <w:rPr>
          <w:rFonts w:ascii="Verdana" w:hAnsi="Verdana" w:cs="Arial"/>
          <w:color w:val="000000" w:themeColor="text1"/>
        </w:rPr>
        <w:t xml:space="preserve"> devidos, (iv) a relação dos advogados que participarão do rateio e (v) a quota parte de cada um deles, e conferir a planilha com todas as rubricas pagas a título de Honorários de Sucumbência elaborada, trimestralmente, pela GDC.</w:t>
      </w:r>
    </w:p>
    <w:p w:rsidR="00963BBA" w:rsidRPr="00963BBA" w:rsidRDefault="00963BBA" w:rsidP="0017436C">
      <w:pPr>
        <w:pStyle w:val="BodyText2"/>
        <w:numPr>
          <w:ilvl w:val="2"/>
          <w:numId w:val="19"/>
        </w:numPr>
        <w:autoSpaceDE/>
        <w:autoSpaceDN/>
        <w:adjustRightInd/>
        <w:spacing w:line="240" w:lineRule="auto"/>
        <w:ind w:left="0" w:firstLine="0"/>
        <w:contextualSpacing/>
        <w:jc w:val="both"/>
        <w:rPr>
          <w:rFonts w:ascii="Verdana" w:hAnsi="Verdana" w:cs="Arial"/>
          <w:color w:val="000000" w:themeColor="text1"/>
        </w:rPr>
      </w:pPr>
      <w:r>
        <w:rPr>
          <w:rFonts w:ascii="Verdana" w:hAnsi="Verdana" w:cs="Arial"/>
          <w:color w:val="000000" w:themeColor="text1"/>
        </w:rPr>
        <w:t xml:space="preserve"> </w:t>
      </w:r>
      <w:r w:rsidRPr="00963BBA">
        <w:rPr>
          <w:rFonts w:ascii="Verdana" w:hAnsi="Verdana" w:cs="Arial"/>
          <w:color w:val="000000" w:themeColor="text1"/>
        </w:rPr>
        <w:t>A GDC será responsável por (i) operacionalizar o pagamento dos Honorários Sucumbenciais; (ii) verificar a disponibilidade do montante dos Honorários Sucumbenciais informados previamente pela GJU, (iii)</w:t>
      </w:r>
      <w:r w:rsidR="0017436C">
        <w:rPr>
          <w:rFonts w:ascii="Verdana" w:hAnsi="Verdana" w:cs="Arial"/>
          <w:color w:val="000000" w:themeColor="text1"/>
        </w:rPr>
        <w:t xml:space="preserve"> cumprir o prazo de pagamento, </w:t>
      </w:r>
      <w:r w:rsidRPr="00963BBA">
        <w:rPr>
          <w:rFonts w:ascii="Verdana" w:hAnsi="Verdana" w:cs="Arial"/>
          <w:color w:val="000000" w:themeColor="text1"/>
        </w:rPr>
        <w:t>bem como (iv) informar à GRH sobre os valores dos Honorários Sucumbenciais pagos a cada advogado e a origem desses valores (dados completos do processo).</w:t>
      </w:r>
    </w:p>
    <w:p w:rsidR="00963BBA" w:rsidRPr="00023F92" w:rsidRDefault="00074482" w:rsidP="0017436C">
      <w:pPr>
        <w:pStyle w:val="BodyText2"/>
        <w:numPr>
          <w:ilvl w:val="2"/>
          <w:numId w:val="19"/>
        </w:numPr>
        <w:autoSpaceDE/>
        <w:autoSpaceDN/>
        <w:adjustRightInd/>
        <w:spacing w:line="240" w:lineRule="auto"/>
        <w:ind w:left="0" w:firstLine="0"/>
        <w:contextualSpacing/>
        <w:jc w:val="both"/>
        <w:rPr>
          <w:rFonts w:ascii="Verdana" w:hAnsi="Verdana" w:cs="Arial"/>
          <w:color w:val="000000" w:themeColor="text1"/>
        </w:rPr>
      </w:pPr>
      <w:r w:rsidRPr="00963BBA">
        <w:rPr>
          <w:rFonts w:ascii="Verdana" w:hAnsi="Verdana" w:cs="Arial"/>
          <w:color w:val="000000" w:themeColor="text1"/>
        </w:rPr>
        <w:t xml:space="preserve"> </w:t>
      </w:r>
      <w:r w:rsidR="00963BBA" w:rsidRPr="00963BBA">
        <w:rPr>
          <w:rFonts w:ascii="Verdana" w:hAnsi="Verdana" w:cs="Arial"/>
          <w:color w:val="000000" w:themeColor="text1"/>
        </w:rPr>
        <w:t xml:space="preserve">A GRH deverá incluir no demonstrativo de rendimentos anuais fornecido aos advogados, de acordo com as normas do imposto de renda, os valores pagos a cada advogado a título de </w:t>
      </w:r>
      <w:r w:rsidR="00963BBA" w:rsidRPr="00023F92">
        <w:rPr>
          <w:rFonts w:ascii="Verdana" w:hAnsi="Verdana" w:cs="Arial"/>
          <w:color w:val="000000" w:themeColor="text1"/>
        </w:rPr>
        <w:t>Honorários Sucumbenciais</w:t>
      </w:r>
      <w:r w:rsidR="00963BBA" w:rsidRPr="00963BBA">
        <w:rPr>
          <w:rFonts w:ascii="Verdana" w:hAnsi="Verdana" w:cs="Arial"/>
          <w:color w:val="000000" w:themeColor="text1"/>
        </w:rPr>
        <w:t xml:space="preserve"> e a sua origem (dados completos do processo).</w:t>
      </w:r>
      <w:r w:rsidR="00963BBA" w:rsidRPr="00023F92">
        <w:rPr>
          <w:rFonts w:ascii="Verdana" w:hAnsi="Verdana" w:cs="Arial"/>
          <w:color w:val="000000" w:themeColor="text1"/>
        </w:rPr>
        <w:t xml:space="preserve"> </w:t>
      </w:r>
    </w:p>
    <w:p w:rsidR="00963BBA" w:rsidRDefault="00074482" w:rsidP="0017436C">
      <w:pPr>
        <w:pStyle w:val="BodyText2"/>
        <w:numPr>
          <w:ilvl w:val="2"/>
          <w:numId w:val="19"/>
        </w:numPr>
        <w:autoSpaceDE/>
        <w:autoSpaceDN/>
        <w:adjustRightInd/>
        <w:spacing w:line="240" w:lineRule="auto"/>
        <w:ind w:left="0" w:firstLine="0"/>
        <w:contextualSpacing/>
        <w:jc w:val="both"/>
        <w:rPr>
          <w:rFonts w:ascii="Verdana" w:hAnsi="Verdana" w:cs="Arial"/>
          <w:color w:val="000000" w:themeColor="text1"/>
        </w:rPr>
      </w:pPr>
      <w:r w:rsidRPr="00023F92">
        <w:rPr>
          <w:rFonts w:ascii="Verdana" w:hAnsi="Verdana" w:cs="Arial"/>
          <w:color w:val="000000" w:themeColor="text1"/>
        </w:rPr>
        <w:t xml:space="preserve"> </w:t>
      </w:r>
      <w:r w:rsidR="00A01C00" w:rsidRPr="00963BBA">
        <w:rPr>
          <w:rFonts w:ascii="Verdana" w:hAnsi="Verdana" w:cs="Arial"/>
          <w:color w:val="000000" w:themeColor="text1"/>
        </w:rPr>
        <w:t xml:space="preserve">A GDC deve: (i) elaborar, trimestralmente, para fins de controle interno, planilha com todas as rubricas pagas a título de </w:t>
      </w:r>
      <w:r w:rsidR="00A01C00" w:rsidRPr="00023F92">
        <w:rPr>
          <w:rFonts w:ascii="Verdana" w:hAnsi="Verdana" w:cs="Arial"/>
          <w:color w:val="000000" w:themeColor="text1"/>
        </w:rPr>
        <w:t>Honorários de Sucumbência</w:t>
      </w:r>
      <w:r w:rsidR="00A01C00" w:rsidRPr="00963BBA">
        <w:rPr>
          <w:rFonts w:ascii="Verdana" w:hAnsi="Verdana" w:cs="Arial"/>
          <w:color w:val="000000" w:themeColor="text1"/>
        </w:rPr>
        <w:t xml:space="preserve">, (ii) submeter a planilha à GJU para conferência, (iii) apresentar a planilha conferida pela GJU à Diretoria, Conselho Fiscal e Conselho de Administração, igualmente em caráter trimestral. </w:t>
      </w:r>
    </w:p>
    <w:p w:rsidR="0017436C" w:rsidRPr="0017436C" w:rsidRDefault="0017436C" w:rsidP="0017436C">
      <w:pPr>
        <w:pStyle w:val="BodyText2"/>
        <w:autoSpaceDE/>
        <w:autoSpaceDN/>
        <w:adjustRightInd/>
        <w:spacing w:line="240" w:lineRule="auto"/>
        <w:contextualSpacing/>
        <w:jc w:val="both"/>
        <w:rPr>
          <w:rFonts w:ascii="Verdana" w:hAnsi="Verdana" w:cs="Arial"/>
          <w:color w:val="000000" w:themeColor="text1"/>
        </w:rPr>
      </w:pPr>
    </w:p>
    <w:p w:rsidR="00963BBA" w:rsidRDefault="003B2FF6" w:rsidP="00023F92">
      <w:pPr>
        <w:pStyle w:val="ListParagraph"/>
        <w:numPr>
          <w:ilvl w:val="0"/>
          <w:numId w:val="2"/>
        </w:numPr>
        <w:spacing w:before="120" w:after="120"/>
        <w:ind w:left="0" w:firstLine="0"/>
        <w:jc w:val="both"/>
        <w:rPr>
          <w:rFonts w:ascii="Verdana" w:hAnsi="Verdana"/>
          <w:b/>
          <w:color w:val="000000" w:themeColor="text1"/>
          <w:sz w:val="20"/>
          <w:szCs w:val="20"/>
        </w:rPr>
      </w:pPr>
      <w:r w:rsidRPr="00D12AC6">
        <w:rPr>
          <w:rFonts w:ascii="Verdana" w:hAnsi="Verdana"/>
          <w:b/>
          <w:color w:val="000000" w:themeColor="text1"/>
          <w:sz w:val="20"/>
          <w:szCs w:val="20"/>
        </w:rPr>
        <w:t>Penalidades</w:t>
      </w:r>
    </w:p>
    <w:p w:rsidR="00856716" w:rsidRPr="00023F92" w:rsidRDefault="003B2FF6" w:rsidP="00023F92">
      <w:pPr>
        <w:pStyle w:val="ListParagraph"/>
        <w:numPr>
          <w:ilvl w:val="1"/>
          <w:numId w:val="2"/>
        </w:numPr>
        <w:spacing w:before="120" w:after="120"/>
        <w:ind w:left="0" w:firstLine="0"/>
        <w:jc w:val="both"/>
        <w:rPr>
          <w:rFonts w:ascii="Verdana" w:hAnsi="Verdana"/>
          <w:b/>
          <w:color w:val="000000" w:themeColor="text1"/>
          <w:sz w:val="20"/>
          <w:szCs w:val="20"/>
        </w:rPr>
      </w:pPr>
      <w:r w:rsidRPr="00023F92">
        <w:rPr>
          <w:rFonts w:ascii="Verdana" w:hAnsi="Verdana"/>
          <w:color w:val="000000" w:themeColor="text1"/>
          <w:sz w:val="20"/>
          <w:szCs w:val="20"/>
        </w:rPr>
        <w:lastRenderedPageBreak/>
        <w:t xml:space="preserve">Todos os colaboradores estarão sujeitos às penalidades das normas disciplinares da SP Turismo, em especial a </w:t>
      </w:r>
      <w:r w:rsidR="004C46EC" w:rsidRPr="00023F92">
        <w:rPr>
          <w:rFonts w:ascii="Verdana" w:hAnsi="Verdana"/>
          <w:b/>
          <w:color w:val="000000" w:themeColor="text1"/>
          <w:sz w:val="20"/>
          <w:szCs w:val="20"/>
        </w:rPr>
        <w:t>NG GRH 07</w:t>
      </w:r>
      <w:r w:rsidRPr="00023F92">
        <w:rPr>
          <w:rFonts w:ascii="Verdana" w:hAnsi="Verdana"/>
          <w:b/>
          <w:color w:val="000000" w:themeColor="text1"/>
          <w:sz w:val="20"/>
          <w:szCs w:val="20"/>
        </w:rPr>
        <w:t xml:space="preserve"> - Conduta Funcional</w:t>
      </w:r>
      <w:r w:rsidRPr="00023F92">
        <w:rPr>
          <w:rFonts w:ascii="Verdana" w:hAnsi="Verdana"/>
          <w:color w:val="000000" w:themeColor="text1"/>
          <w:sz w:val="20"/>
          <w:szCs w:val="20"/>
        </w:rPr>
        <w:t>, no caso de descumprimento desta Norma.</w:t>
      </w:r>
    </w:p>
    <w:p w:rsidR="006D19C1" w:rsidRPr="00D12AC6" w:rsidRDefault="004D258D" w:rsidP="00050037">
      <w:pPr>
        <w:pStyle w:val="ListParagraph"/>
        <w:spacing w:before="120" w:after="120"/>
        <w:ind w:left="0"/>
        <w:jc w:val="both"/>
        <w:rPr>
          <w:rFonts w:ascii="Verdana" w:hAnsi="Verdana"/>
          <w:b/>
          <w:color w:val="000000" w:themeColor="text1"/>
          <w:sz w:val="20"/>
          <w:szCs w:val="20"/>
        </w:rPr>
      </w:pPr>
    </w:p>
    <w:p w:rsidR="006D19C1" w:rsidRPr="00D12AC6" w:rsidRDefault="003B2FF6" w:rsidP="00023F92">
      <w:pPr>
        <w:pStyle w:val="ListParagraph"/>
        <w:numPr>
          <w:ilvl w:val="0"/>
          <w:numId w:val="2"/>
        </w:numPr>
        <w:spacing w:before="120" w:after="120"/>
        <w:ind w:left="0" w:firstLine="0"/>
        <w:jc w:val="both"/>
        <w:rPr>
          <w:rFonts w:ascii="Verdana" w:hAnsi="Verdana"/>
          <w:b/>
          <w:color w:val="000000" w:themeColor="text1"/>
          <w:sz w:val="20"/>
          <w:szCs w:val="20"/>
        </w:rPr>
      </w:pPr>
      <w:r w:rsidRPr="00D12AC6">
        <w:rPr>
          <w:rFonts w:ascii="Verdana" w:hAnsi="Verdana"/>
          <w:b/>
          <w:color w:val="000000" w:themeColor="text1"/>
          <w:sz w:val="20"/>
          <w:szCs w:val="20"/>
        </w:rPr>
        <w:t xml:space="preserve">Legislação básica </w:t>
      </w:r>
    </w:p>
    <w:p w:rsidR="00F73AE4" w:rsidRPr="00963BBA" w:rsidRDefault="00963BBA" w:rsidP="00023F92">
      <w:pPr>
        <w:pStyle w:val="ListParagraph"/>
        <w:numPr>
          <w:ilvl w:val="1"/>
          <w:numId w:val="2"/>
        </w:numPr>
        <w:spacing w:before="120" w:after="120"/>
        <w:ind w:left="0" w:firstLine="0"/>
        <w:jc w:val="both"/>
        <w:rPr>
          <w:rFonts w:ascii="Verdana" w:hAnsi="Verdana"/>
          <w:color w:val="000000" w:themeColor="text1"/>
          <w:sz w:val="20"/>
          <w:szCs w:val="20"/>
          <w:shd w:val="clear" w:color="auto" w:fill="FFFFFF"/>
        </w:rPr>
      </w:pPr>
      <w:r w:rsidRPr="00963BBA">
        <w:rPr>
          <w:rFonts w:ascii="Verdana" w:hAnsi="Verdana"/>
          <w:color w:val="000000" w:themeColor="text1"/>
          <w:sz w:val="20"/>
          <w:szCs w:val="20"/>
          <w:shd w:val="clear" w:color="auto" w:fill="FFFFFF"/>
        </w:rPr>
        <w:t>LEIS FEDERAIS nº 13.105/2015 (Código de Processo Civil) e nº. 8.906/94 (Estatuto da Advocacia e a Ordem dos Advogados do Brasil).</w:t>
      </w:r>
    </w:p>
    <w:p w:rsidR="00A76202" w:rsidRDefault="00A76202" w:rsidP="00050037">
      <w:pPr>
        <w:pStyle w:val="ListParagraph"/>
        <w:spacing w:before="120" w:after="120"/>
        <w:ind w:left="0"/>
        <w:jc w:val="both"/>
        <w:rPr>
          <w:rFonts w:ascii="Verdana" w:hAnsi="Verdana"/>
          <w:b/>
          <w:color w:val="000000" w:themeColor="text1"/>
          <w:sz w:val="20"/>
          <w:szCs w:val="20"/>
        </w:rPr>
      </w:pPr>
    </w:p>
    <w:p w:rsidR="006D19C1" w:rsidRPr="00D12AC6" w:rsidRDefault="003B2FF6" w:rsidP="00023F92">
      <w:pPr>
        <w:pStyle w:val="ListParagraph"/>
        <w:numPr>
          <w:ilvl w:val="0"/>
          <w:numId w:val="2"/>
        </w:numPr>
        <w:spacing w:before="120" w:after="120"/>
        <w:ind w:left="0" w:firstLine="0"/>
        <w:jc w:val="both"/>
        <w:rPr>
          <w:rFonts w:ascii="Verdana" w:hAnsi="Verdana"/>
          <w:b/>
          <w:color w:val="000000" w:themeColor="text1"/>
          <w:sz w:val="20"/>
          <w:szCs w:val="20"/>
        </w:rPr>
      </w:pPr>
      <w:r w:rsidRPr="00D12AC6">
        <w:rPr>
          <w:rFonts w:ascii="Verdana" w:hAnsi="Verdana"/>
          <w:b/>
          <w:color w:val="000000" w:themeColor="text1"/>
          <w:sz w:val="20"/>
          <w:szCs w:val="20"/>
        </w:rPr>
        <w:t>Anexos</w:t>
      </w:r>
    </w:p>
    <w:p w:rsidR="006D19C1" w:rsidRPr="0017436C" w:rsidRDefault="003B2FF6" w:rsidP="00050037">
      <w:pPr>
        <w:pStyle w:val="ListParagraph"/>
        <w:numPr>
          <w:ilvl w:val="1"/>
          <w:numId w:val="2"/>
        </w:numPr>
        <w:spacing w:before="120" w:after="120"/>
        <w:ind w:left="0" w:firstLine="0"/>
        <w:jc w:val="both"/>
        <w:rPr>
          <w:rFonts w:ascii="Verdana" w:hAnsi="Verdana"/>
          <w:color w:val="000000" w:themeColor="text1"/>
          <w:sz w:val="20"/>
          <w:szCs w:val="20"/>
        </w:rPr>
      </w:pPr>
      <w:r w:rsidRPr="00D12AC6">
        <w:rPr>
          <w:rFonts w:ascii="Verdana" w:hAnsi="Verdana"/>
          <w:color w:val="000000" w:themeColor="text1"/>
          <w:sz w:val="20"/>
          <w:szCs w:val="20"/>
          <w:shd w:val="clear" w:color="auto" w:fill="FFFFFF"/>
        </w:rPr>
        <w:t>Não existem anexos referentes a esta Norma.</w:t>
      </w:r>
    </w:p>
    <w:p w:rsidR="0017436C" w:rsidRPr="0017436C" w:rsidRDefault="0017436C" w:rsidP="0017436C">
      <w:pPr>
        <w:pStyle w:val="ListParagraph"/>
        <w:spacing w:before="120" w:after="120"/>
        <w:ind w:left="0"/>
        <w:jc w:val="both"/>
        <w:rPr>
          <w:rFonts w:ascii="Verdana" w:hAnsi="Verdana"/>
          <w:color w:val="000000" w:themeColor="text1"/>
          <w:sz w:val="20"/>
          <w:szCs w:val="20"/>
        </w:rPr>
      </w:pPr>
    </w:p>
    <w:p w:rsidR="006D19C1" w:rsidRPr="00D12AC6" w:rsidRDefault="003B2FF6" w:rsidP="00023F92">
      <w:pPr>
        <w:pStyle w:val="ListParagraph"/>
        <w:numPr>
          <w:ilvl w:val="0"/>
          <w:numId w:val="2"/>
        </w:numPr>
        <w:spacing w:before="120" w:after="120"/>
        <w:ind w:left="0" w:firstLine="0"/>
        <w:jc w:val="both"/>
        <w:rPr>
          <w:rFonts w:ascii="Verdana" w:hAnsi="Verdana"/>
          <w:b/>
          <w:color w:val="000000" w:themeColor="text1"/>
          <w:sz w:val="20"/>
          <w:szCs w:val="20"/>
        </w:rPr>
      </w:pPr>
      <w:r w:rsidRPr="00D12AC6">
        <w:rPr>
          <w:rFonts w:ascii="Verdana" w:hAnsi="Verdana"/>
          <w:b/>
          <w:color w:val="000000" w:themeColor="text1"/>
          <w:sz w:val="20"/>
          <w:szCs w:val="20"/>
        </w:rPr>
        <w:t>Revisões</w:t>
      </w:r>
    </w:p>
    <w:p w:rsidR="007F6507" w:rsidRPr="0017436C" w:rsidRDefault="003B2FF6" w:rsidP="00050037">
      <w:pPr>
        <w:pStyle w:val="ListParagraph"/>
        <w:numPr>
          <w:ilvl w:val="1"/>
          <w:numId w:val="2"/>
        </w:numPr>
        <w:spacing w:before="120" w:after="120"/>
        <w:ind w:left="0" w:firstLine="0"/>
        <w:jc w:val="both"/>
        <w:rPr>
          <w:rFonts w:ascii="Verdana" w:hAnsi="Verdana"/>
          <w:b/>
          <w:color w:val="000000" w:themeColor="text1"/>
          <w:sz w:val="20"/>
          <w:szCs w:val="20"/>
        </w:rPr>
      </w:pPr>
      <w:r w:rsidRPr="00D12AC6">
        <w:rPr>
          <w:rFonts w:ascii="Verdana" w:hAnsi="Verdana"/>
          <w:color w:val="000000" w:themeColor="text1"/>
          <w:sz w:val="20"/>
          <w:szCs w:val="20"/>
        </w:rPr>
        <w:t>Anualmente, as definições e diretrizes desta norma devem ser revisadas e aprovadas pela GJU (Gerência Jurídica).</w:t>
      </w:r>
    </w:p>
    <w:p w:rsidR="0017436C" w:rsidRPr="0017436C" w:rsidRDefault="0017436C" w:rsidP="0017436C">
      <w:pPr>
        <w:pStyle w:val="ListParagraph"/>
        <w:spacing w:before="120" w:after="120"/>
        <w:ind w:left="0"/>
        <w:jc w:val="both"/>
        <w:rPr>
          <w:rFonts w:ascii="Verdana" w:hAnsi="Verdana"/>
          <w:b/>
          <w:color w:val="000000" w:themeColor="text1"/>
          <w:sz w:val="20"/>
          <w:szCs w:val="20"/>
        </w:rPr>
      </w:pPr>
    </w:p>
    <w:p w:rsidR="006D19C1" w:rsidRPr="00963BBA" w:rsidRDefault="003B2FF6" w:rsidP="00023F92">
      <w:pPr>
        <w:pStyle w:val="ListParagraph"/>
        <w:numPr>
          <w:ilvl w:val="0"/>
          <w:numId w:val="2"/>
        </w:numPr>
        <w:spacing w:before="120" w:after="120"/>
        <w:ind w:left="0" w:firstLine="0"/>
        <w:jc w:val="both"/>
        <w:rPr>
          <w:rFonts w:ascii="Verdana" w:hAnsi="Verdana"/>
          <w:b/>
          <w:color w:val="000000" w:themeColor="text1"/>
          <w:sz w:val="20"/>
          <w:szCs w:val="20"/>
        </w:rPr>
      </w:pPr>
      <w:r w:rsidRPr="00D12AC6">
        <w:rPr>
          <w:rFonts w:ascii="Verdana" w:hAnsi="Verdana"/>
          <w:b/>
          <w:color w:val="000000" w:themeColor="text1"/>
          <w:sz w:val="20"/>
          <w:szCs w:val="20"/>
        </w:rPr>
        <w:t>Histórico de alterações</w:t>
      </w:r>
    </w:p>
    <w:tbl>
      <w:tblPr>
        <w:tblStyle w:val="TableGrid"/>
        <w:tblW w:w="0" w:type="auto"/>
        <w:tblLook w:val="01E0" w:firstRow="1" w:lastRow="1" w:firstColumn="1" w:lastColumn="1" w:noHBand="0" w:noVBand="0"/>
      </w:tblPr>
      <w:tblGrid>
        <w:gridCol w:w="1094"/>
        <w:gridCol w:w="1268"/>
        <w:gridCol w:w="1466"/>
        <w:gridCol w:w="1809"/>
        <w:gridCol w:w="3417"/>
      </w:tblGrid>
      <w:tr w:rsidR="00D12AC6" w:rsidRPr="00D12AC6" w:rsidTr="00A76202">
        <w:trPr>
          <w:trHeight w:val="230"/>
        </w:trPr>
        <w:tc>
          <w:tcPr>
            <w:tcW w:w="1094" w:type="dxa"/>
            <w:vMerge w:val="restart"/>
            <w:shd w:val="clear" w:color="auto" w:fill="C0C0C0"/>
            <w:vAlign w:val="center"/>
          </w:tcPr>
          <w:p w:rsidR="006D19C1" w:rsidRPr="00D12AC6" w:rsidRDefault="003B2FF6" w:rsidP="00050037">
            <w:pPr>
              <w:spacing w:before="120" w:after="120"/>
              <w:contextualSpacing/>
              <w:jc w:val="both"/>
              <w:rPr>
                <w:rFonts w:ascii="Verdana" w:hAnsi="Verdana"/>
                <w:b/>
                <w:color w:val="000000" w:themeColor="text1"/>
                <w:sz w:val="20"/>
                <w:szCs w:val="20"/>
              </w:rPr>
            </w:pPr>
            <w:r w:rsidRPr="00D12AC6">
              <w:rPr>
                <w:rFonts w:ascii="Verdana" w:hAnsi="Verdana"/>
                <w:b/>
                <w:color w:val="000000" w:themeColor="text1"/>
                <w:sz w:val="20"/>
                <w:szCs w:val="20"/>
              </w:rPr>
              <w:t>Revisão</w:t>
            </w:r>
          </w:p>
        </w:tc>
        <w:tc>
          <w:tcPr>
            <w:tcW w:w="2734" w:type="dxa"/>
            <w:gridSpan w:val="2"/>
            <w:tcBorders>
              <w:bottom w:val="single" w:sz="4" w:space="0" w:color="auto"/>
            </w:tcBorders>
            <w:shd w:val="clear" w:color="auto" w:fill="C0C0C0"/>
            <w:vAlign w:val="center"/>
          </w:tcPr>
          <w:p w:rsidR="006D19C1" w:rsidRPr="00D12AC6" w:rsidRDefault="003B2FF6" w:rsidP="00050037">
            <w:pPr>
              <w:spacing w:before="120" w:after="120"/>
              <w:contextualSpacing/>
              <w:jc w:val="both"/>
              <w:rPr>
                <w:rFonts w:ascii="Verdana" w:hAnsi="Verdana"/>
                <w:b/>
                <w:color w:val="000000" w:themeColor="text1"/>
                <w:sz w:val="20"/>
                <w:szCs w:val="20"/>
              </w:rPr>
            </w:pPr>
            <w:r w:rsidRPr="00D12AC6">
              <w:rPr>
                <w:rFonts w:ascii="Verdana" w:hAnsi="Verdana"/>
                <w:b/>
                <w:color w:val="000000" w:themeColor="text1"/>
                <w:sz w:val="20"/>
                <w:szCs w:val="20"/>
              </w:rPr>
              <w:t>Data</w:t>
            </w:r>
          </w:p>
        </w:tc>
        <w:tc>
          <w:tcPr>
            <w:tcW w:w="1809" w:type="dxa"/>
            <w:vMerge w:val="restart"/>
            <w:shd w:val="clear" w:color="auto" w:fill="C0C0C0"/>
            <w:vAlign w:val="center"/>
          </w:tcPr>
          <w:p w:rsidR="006D19C1" w:rsidRPr="00D12AC6" w:rsidRDefault="003B2FF6" w:rsidP="00050037">
            <w:pPr>
              <w:spacing w:before="120" w:after="120"/>
              <w:contextualSpacing/>
              <w:jc w:val="both"/>
              <w:rPr>
                <w:rFonts w:ascii="Verdana" w:hAnsi="Verdana"/>
                <w:b/>
                <w:color w:val="000000" w:themeColor="text1"/>
                <w:sz w:val="20"/>
                <w:szCs w:val="20"/>
              </w:rPr>
            </w:pPr>
            <w:r w:rsidRPr="00D12AC6">
              <w:rPr>
                <w:rFonts w:ascii="Verdana" w:hAnsi="Verdana"/>
                <w:b/>
                <w:color w:val="000000" w:themeColor="text1"/>
                <w:sz w:val="20"/>
                <w:szCs w:val="20"/>
              </w:rPr>
              <w:t>Alterações</w:t>
            </w:r>
          </w:p>
        </w:tc>
        <w:tc>
          <w:tcPr>
            <w:tcW w:w="3417" w:type="dxa"/>
            <w:vMerge w:val="restart"/>
            <w:shd w:val="clear" w:color="auto" w:fill="C0C0C0"/>
            <w:vAlign w:val="center"/>
          </w:tcPr>
          <w:p w:rsidR="006D19C1" w:rsidRPr="00D12AC6" w:rsidRDefault="003B2FF6" w:rsidP="00050037">
            <w:pPr>
              <w:spacing w:before="120" w:after="120"/>
              <w:contextualSpacing/>
              <w:jc w:val="both"/>
              <w:rPr>
                <w:rFonts w:ascii="Verdana" w:hAnsi="Verdana"/>
                <w:b/>
                <w:color w:val="000000" w:themeColor="text1"/>
                <w:sz w:val="20"/>
                <w:szCs w:val="20"/>
              </w:rPr>
            </w:pPr>
            <w:r w:rsidRPr="00D12AC6">
              <w:rPr>
                <w:rFonts w:ascii="Verdana" w:hAnsi="Verdana"/>
                <w:b/>
                <w:color w:val="000000" w:themeColor="text1"/>
                <w:sz w:val="20"/>
                <w:szCs w:val="20"/>
              </w:rPr>
              <w:t>Revisores / Aprovadores</w:t>
            </w:r>
          </w:p>
        </w:tc>
      </w:tr>
      <w:tr w:rsidR="00D12AC6" w:rsidRPr="00D12AC6" w:rsidTr="00A76202">
        <w:trPr>
          <w:trHeight w:val="184"/>
        </w:trPr>
        <w:tc>
          <w:tcPr>
            <w:tcW w:w="0" w:type="auto"/>
            <w:vMerge/>
          </w:tcPr>
          <w:p w:rsidR="00333826" w:rsidRPr="00D12AC6" w:rsidRDefault="00333826" w:rsidP="00050037">
            <w:pPr>
              <w:spacing w:before="120" w:after="120"/>
              <w:contextualSpacing/>
              <w:jc w:val="both"/>
              <w:rPr>
                <w:rFonts w:ascii="Verdana" w:hAnsi="Verdana"/>
                <w:color w:val="000000" w:themeColor="text1"/>
                <w:sz w:val="20"/>
                <w:szCs w:val="20"/>
              </w:rPr>
            </w:pPr>
          </w:p>
        </w:tc>
        <w:tc>
          <w:tcPr>
            <w:tcW w:w="1268" w:type="dxa"/>
            <w:tcBorders>
              <w:top w:val="single" w:sz="4" w:space="0" w:color="auto"/>
              <w:bottom w:val="single" w:sz="4" w:space="0" w:color="auto"/>
              <w:right w:val="single" w:sz="4" w:space="0" w:color="auto"/>
            </w:tcBorders>
            <w:shd w:val="clear" w:color="auto" w:fill="C0C0C0"/>
            <w:vAlign w:val="center"/>
          </w:tcPr>
          <w:p w:rsidR="006D19C1" w:rsidRPr="00D12AC6" w:rsidRDefault="003B2FF6" w:rsidP="00050037">
            <w:pPr>
              <w:spacing w:before="120" w:after="120"/>
              <w:contextualSpacing/>
              <w:jc w:val="both"/>
              <w:rPr>
                <w:rFonts w:ascii="Verdana" w:hAnsi="Verdana"/>
                <w:color w:val="000000" w:themeColor="text1"/>
                <w:sz w:val="20"/>
                <w:szCs w:val="20"/>
              </w:rPr>
            </w:pPr>
            <w:r w:rsidRPr="00D12AC6">
              <w:rPr>
                <w:rFonts w:ascii="Verdana" w:hAnsi="Verdana"/>
                <w:color w:val="000000" w:themeColor="text1"/>
                <w:sz w:val="20"/>
                <w:szCs w:val="20"/>
              </w:rPr>
              <w:t>Publicação</w:t>
            </w:r>
          </w:p>
        </w:tc>
        <w:tc>
          <w:tcPr>
            <w:tcW w:w="1466" w:type="dxa"/>
            <w:tcBorders>
              <w:top w:val="single" w:sz="4" w:space="0" w:color="auto"/>
              <w:left w:val="single" w:sz="4" w:space="0" w:color="auto"/>
              <w:bottom w:val="single" w:sz="4" w:space="0" w:color="auto"/>
            </w:tcBorders>
            <w:shd w:val="clear" w:color="auto" w:fill="C0C0C0"/>
            <w:vAlign w:val="center"/>
          </w:tcPr>
          <w:p w:rsidR="006D19C1" w:rsidRPr="00D12AC6" w:rsidRDefault="003B2FF6" w:rsidP="00050037">
            <w:pPr>
              <w:spacing w:before="120" w:after="120"/>
              <w:contextualSpacing/>
              <w:jc w:val="both"/>
              <w:rPr>
                <w:rFonts w:ascii="Verdana" w:hAnsi="Verdana"/>
                <w:color w:val="000000" w:themeColor="text1"/>
                <w:sz w:val="20"/>
                <w:szCs w:val="20"/>
              </w:rPr>
            </w:pPr>
            <w:r w:rsidRPr="00D12AC6">
              <w:rPr>
                <w:rFonts w:ascii="Verdana" w:hAnsi="Verdana"/>
                <w:color w:val="000000" w:themeColor="text1"/>
                <w:sz w:val="20"/>
                <w:szCs w:val="20"/>
              </w:rPr>
              <w:t>Implantação</w:t>
            </w:r>
          </w:p>
        </w:tc>
        <w:tc>
          <w:tcPr>
            <w:tcW w:w="1809" w:type="dxa"/>
            <w:vMerge/>
          </w:tcPr>
          <w:p w:rsidR="00333826" w:rsidRPr="00D12AC6" w:rsidRDefault="00333826" w:rsidP="00050037">
            <w:pPr>
              <w:spacing w:before="120" w:after="120"/>
              <w:contextualSpacing/>
              <w:jc w:val="both"/>
              <w:rPr>
                <w:rFonts w:ascii="Verdana" w:hAnsi="Verdana"/>
                <w:color w:val="000000" w:themeColor="text1"/>
                <w:sz w:val="20"/>
                <w:szCs w:val="20"/>
              </w:rPr>
            </w:pPr>
          </w:p>
        </w:tc>
        <w:tc>
          <w:tcPr>
            <w:tcW w:w="3417" w:type="dxa"/>
            <w:vMerge/>
          </w:tcPr>
          <w:p w:rsidR="00333826" w:rsidRPr="00D12AC6" w:rsidRDefault="00333826" w:rsidP="00050037">
            <w:pPr>
              <w:spacing w:before="120" w:after="120"/>
              <w:contextualSpacing/>
              <w:jc w:val="both"/>
              <w:rPr>
                <w:rFonts w:ascii="Verdana" w:hAnsi="Verdana"/>
                <w:color w:val="000000" w:themeColor="text1"/>
                <w:sz w:val="20"/>
                <w:szCs w:val="20"/>
              </w:rPr>
            </w:pPr>
          </w:p>
        </w:tc>
      </w:tr>
      <w:tr w:rsidR="00D12AC6" w:rsidRPr="00D12AC6" w:rsidTr="00A76202">
        <w:trPr>
          <w:trHeight w:val="288"/>
        </w:trPr>
        <w:tc>
          <w:tcPr>
            <w:tcW w:w="1094" w:type="dxa"/>
            <w:vAlign w:val="center"/>
          </w:tcPr>
          <w:p w:rsidR="006D19C1" w:rsidRPr="00D12AC6" w:rsidRDefault="0017436C" w:rsidP="00050037">
            <w:pPr>
              <w:spacing w:before="120" w:after="120"/>
              <w:contextualSpacing/>
              <w:jc w:val="both"/>
              <w:rPr>
                <w:rFonts w:ascii="Verdana" w:hAnsi="Verdana"/>
                <w:color w:val="000000" w:themeColor="text1"/>
                <w:sz w:val="20"/>
                <w:szCs w:val="20"/>
              </w:rPr>
            </w:pPr>
            <w:r>
              <w:rPr>
                <w:rFonts w:ascii="Verdana" w:hAnsi="Verdana"/>
                <w:color w:val="000000" w:themeColor="text1"/>
                <w:sz w:val="20"/>
                <w:szCs w:val="20"/>
              </w:rPr>
              <w:t>REV. 01</w:t>
            </w:r>
            <w:r w:rsidR="003B2FF6" w:rsidRPr="00D12AC6">
              <w:rPr>
                <w:rFonts w:ascii="Verdana" w:hAnsi="Verdana"/>
                <w:color w:val="000000" w:themeColor="text1"/>
                <w:sz w:val="20"/>
                <w:szCs w:val="20"/>
              </w:rPr>
              <w:t xml:space="preserve"> </w:t>
            </w:r>
          </w:p>
        </w:tc>
        <w:tc>
          <w:tcPr>
            <w:tcW w:w="1268" w:type="dxa"/>
            <w:vAlign w:val="center"/>
          </w:tcPr>
          <w:p w:rsidR="006D19C1" w:rsidRPr="00D12AC6" w:rsidRDefault="004D258D" w:rsidP="00050037">
            <w:pPr>
              <w:spacing w:before="120" w:after="120"/>
              <w:contextualSpacing/>
              <w:jc w:val="both"/>
              <w:rPr>
                <w:rFonts w:ascii="Verdana" w:hAnsi="Verdana"/>
                <w:color w:val="000000" w:themeColor="text1"/>
                <w:sz w:val="20"/>
                <w:szCs w:val="20"/>
              </w:rPr>
            </w:pPr>
          </w:p>
        </w:tc>
        <w:tc>
          <w:tcPr>
            <w:tcW w:w="1466" w:type="dxa"/>
            <w:vAlign w:val="center"/>
          </w:tcPr>
          <w:p w:rsidR="006D19C1" w:rsidRPr="00D12AC6" w:rsidRDefault="004D258D" w:rsidP="00050037">
            <w:pPr>
              <w:spacing w:before="120" w:after="120"/>
              <w:contextualSpacing/>
              <w:jc w:val="both"/>
              <w:rPr>
                <w:rFonts w:ascii="Verdana" w:hAnsi="Verdana"/>
                <w:color w:val="000000" w:themeColor="text1"/>
                <w:sz w:val="20"/>
                <w:szCs w:val="20"/>
              </w:rPr>
            </w:pPr>
            <w:bookmarkStart w:id="0" w:name="_GoBack"/>
            <w:bookmarkEnd w:id="0"/>
          </w:p>
        </w:tc>
        <w:tc>
          <w:tcPr>
            <w:tcW w:w="1809" w:type="dxa"/>
            <w:vAlign w:val="center"/>
          </w:tcPr>
          <w:p w:rsidR="006D19C1" w:rsidRPr="00D12AC6" w:rsidRDefault="003B2FF6" w:rsidP="00050037">
            <w:pPr>
              <w:spacing w:before="120" w:after="120"/>
              <w:contextualSpacing/>
              <w:jc w:val="both"/>
              <w:rPr>
                <w:rFonts w:ascii="Verdana" w:hAnsi="Verdana"/>
                <w:color w:val="000000" w:themeColor="text1"/>
                <w:sz w:val="20"/>
                <w:szCs w:val="20"/>
              </w:rPr>
            </w:pPr>
            <w:r w:rsidRPr="00D12AC6">
              <w:rPr>
                <w:rFonts w:ascii="Verdana" w:hAnsi="Verdana"/>
                <w:color w:val="000000" w:themeColor="text1"/>
                <w:sz w:val="20"/>
                <w:szCs w:val="20"/>
              </w:rPr>
              <w:t>Não aplicável</w:t>
            </w:r>
          </w:p>
        </w:tc>
        <w:tc>
          <w:tcPr>
            <w:tcW w:w="3417" w:type="dxa"/>
            <w:shd w:val="clear" w:color="auto" w:fill="auto"/>
            <w:vAlign w:val="center"/>
          </w:tcPr>
          <w:p w:rsidR="006D19C1" w:rsidRPr="00D12AC6" w:rsidRDefault="00A83582" w:rsidP="00050037">
            <w:pPr>
              <w:spacing w:before="120" w:after="120"/>
              <w:contextualSpacing/>
              <w:jc w:val="both"/>
              <w:rPr>
                <w:rFonts w:ascii="Verdana" w:hAnsi="Verdana"/>
                <w:color w:val="000000" w:themeColor="text1"/>
                <w:sz w:val="20"/>
                <w:szCs w:val="20"/>
              </w:rPr>
            </w:pPr>
            <w:r>
              <w:rPr>
                <w:rFonts w:ascii="Verdana" w:hAnsi="Verdana"/>
                <w:color w:val="000000" w:themeColor="text1"/>
                <w:sz w:val="20"/>
                <w:szCs w:val="20"/>
              </w:rPr>
              <w:t>G</w:t>
            </w:r>
            <w:r w:rsidR="00A01C00" w:rsidRPr="00D12AC6">
              <w:rPr>
                <w:rFonts w:ascii="Verdana" w:hAnsi="Verdana"/>
                <w:color w:val="000000" w:themeColor="text1"/>
                <w:sz w:val="20"/>
                <w:szCs w:val="20"/>
              </w:rPr>
              <w:t>JU: Marcio Miglioli</w:t>
            </w:r>
          </w:p>
          <w:p w:rsidR="006D19C1" w:rsidRPr="00D12AC6" w:rsidRDefault="004D258D" w:rsidP="00050037">
            <w:pPr>
              <w:spacing w:before="120" w:after="120"/>
              <w:contextualSpacing/>
              <w:jc w:val="both"/>
              <w:rPr>
                <w:rFonts w:ascii="Verdana" w:hAnsi="Verdana"/>
                <w:color w:val="000000" w:themeColor="text1"/>
                <w:sz w:val="20"/>
                <w:szCs w:val="20"/>
              </w:rPr>
            </w:pPr>
          </w:p>
        </w:tc>
      </w:tr>
    </w:tbl>
    <w:p w:rsidR="006D19C1" w:rsidRPr="00D12AC6" w:rsidRDefault="004D258D" w:rsidP="00050037">
      <w:pPr>
        <w:spacing w:before="120" w:after="120"/>
        <w:contextualSpacing/>
        <w:jc w:val="both"/>
        <w:rPr>
          <w:rFonts w:ascii="Verdana" w:hAnsi="Verdana"/>
          <w:color w:val="000000" w:themeColor="text1"/>
          <w:sz w:val="20"/>
          <w:szCs w:val="20"/>
        </w:rPr>
      </w:pPr>
    </w:p>
    <w:p w:rsidR="00592561" w:rsidRPr="00D12AC6" w:rsidRDefault="004D258D" w:rsidP="00050037">
      <w:pPr>
        <w:spacing w:before="120" w:after="120"/>
        <w:contextualSpacing/>
        <w:jc w:val="both"/>
        <w:rPr>
          <w:rFonts w:ascii="Verdana" w:hAnsi="Verdana"/>
          <w:color w:val="000000" w:themeColor="text1"/>
          <w:sz w:val="20"/>
          <w:szCs w:val="20"/>
        </w:rPr>
      </w:pPr>
    </w:p>
    <w:sectPr w:rsidR="00592561" w:rsidRPr="00D12AC6" w:rsidSect="00E6622B">
      <w:headerReference w:type="default" r:id="rId8"/>
      <w:footerReference w:type="even" r:id="rId9"/>
      <w:footerReference w:type="default" r:id="rId10"/>
      <w:footerReference w:type="first" r:id="rId11"/>
      <w:pgSz w:w="12240" w:h="15840"/>
      <w:pgMar w:top="1417" w:right="1701" w:bottom="1417" w:left="1701" w:header="708" w:footer="708" w:gutter="0"/>
      <w:pgNumType w:start="43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8D" w:rsidRDefault="004D258D">
      <w:r>
        <w:separator/>
      </w:r>
    </w:p>
  </w:endnote>
  <w:endnote w:type="continuationSeparator" w:id="0">
    <w:p w:rsidR="004D258D" w:rsidRDefault="004D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97" w:rsidRDefault="003B2F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5B97" w:rsidRDefault="004D258D">
    <w:pPr>
      <w:pStyle w:val="Footer"/>
      <w:ind w:right="360"/>
    </w:pPr>
  </w:p>
  <w:p w:rsidR="00955B97" w:rsidRDefault="004D258D" w:rsidP="00FD5EC4">
    <w:pPr>
      <w:pStyle w:val="DSLxSty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tblInd w:w="-601" w:type="dxa"/>
      <w:tblLook w:val="0000" w:firstRow="0" w:lastRow="0" w:firstColumn="0" w:lastColumn="0" w:noHBand="0" w:noVBand="0"/>
    </w:tblPr>
    <w:tblGrid>
      <w:gridCol w:w="10348"/>
    </w:tblGrid>
    <w:tr w:rsidR="00955B97" w:rsidTr="00761F97">
      <w:tc>
        <w:tcPr>
          <w:tcW w:w="10348" w:type="dxa"/>
          <w:tcBorders>
            <w:top w:val="single" w:sz="4" w:space="0" w:color="auto"/>
            <w:left w:val="nil"/>
            <w:bottom w:val="nil"/>
            <w:right w:val="nil"/>
          </w:tcBorders>
        </w:tcPr>
        <w:p w:rsidR="00955B97" w:rsidRPr="00761F97" w:rsidRDefault="003B2FF6" w:rsidP="00CA4988">
          <w:pPr>
            <w:pStyle w:val="Footer"/>
            <w:ind w:left="-250" w:right="360" w:firstLine="250"/>
            <w:jc w:val="center"/>
            <w:rPr>
              <w:rFonts w:ascii="Verdana" w:hAnsi="Verdana"/>
              <w:i/>
              <w:sz w:val="16"/>
              <w:szCs w:val="16"/>
            </w:rPr>
          </w:pPr>
          <w:r w:rsidRPr="00761F97">
            <w:rPr>
              <w:rFonts w:ascii="Verdana" w:hAnsi="Verdana"/>
              <w:i/>
              <w:sz w:val="16"/>
              <w:szCs w:val="16"/>
            </w:rPr>
            <w:t>Este documento não pode ser usado, copiado ou cedido sem prévia autoriz</w:t>
          </w:r>
          <w:r>
            <w:rPr>
              <w:rFonts w:ascii="Verdana" w:hAnsi="Verdana"/>
              <w:i/>
              <w:sz w:val="16"/>
              <w:szCs w:val="16"/>
            </w:rPr>
            <w:t>ação da SP T</w:t>
          </w:r>
          <w:r w:rsidR="00CA4988">
            <w:rPr>
              <w:rFonts w:ascii="Verdana" w:hAnsi="Verdana"/>
              <w:i/>
              <w:sz w:val="16"/>
              <w:szCs w:val="16"/>
            </w:rPr>
            <w:t>urismo</w:t>
          </w:r>
          <w:r w:rsidRPr="00761F97">
            <w:rPr>
              <w:rFonts w:ascii="Verdana" w:hAnsi="Verdana"/>
              <w:i/>
              <w:sz w:val="16"/>
              <w:szCs w:val="16"/>
            </w:rPr>
            <w:t>.</w:t>
          </w:r>
        </w:p>
      </w:tc>
    </w:tr>
  </w:tbl>
  <w:p w:rsidR="00955B97" w:rsidRPr="0030197E" w:rsidRDefault="003B2FF6" w:rsidP="00843AAB">
    <w:pPr>
      <w:pStyle w:val="Footer"/>
      <w:framePr w:wrap="around" w:vAnchor="text" w:hAnchor="page" w:x="5748" w:y="246"/>
      <w:rPr>
        <w:rStyle w:val="PageNumber"/>
        <w:rFonts w:ascii="Verdana" w:hAnsi="Verdana"/>
        <w:sz w:val="16"/>
      </w:rPr>
    </w:pPr>
    <w:r w:rsidRPr="0030197E">
      <w:rPr>
        <w:rStyle w:val="PageNumber"/>
        <w:rFonts w:ascii="Verdana" w:hAnsi="Verdana"/>
        <w:sz w:val="18"/>
      </w:rPr>
      <w:fldChar w:fldCharType="begin"/>
    </w:r>
    <w:r w:rsidRPr="0030197E">
      <w:rPr>
        <w:rStyle w:val="PageNumber"/>
        <w:rFonts w:ascii="Verdana" w:hAnsi="Verdana"/>
        <w:sz w:val="18"/>
      </w:rPr>
      <w:instrText xml:space="preserve">PAGE  </w:instrText>
    </w:r>
    <w:r w:rsidRPr="0030197E">
      <w:rPr>
        <w:rStyle w:val="PageNumber"/>
        <w:rFonts w:ascii="Verdana" w:hAnsi="Verdana"/>
        <w:sz w:val="18"/>
      </w:rPr>
      <w:fldChar w:fldCharType="separate"/>
    </w:r>
    <w:r w:rsidR="004A6D1C">
      <w:rPr>
        <w:rStyle w:val="PageNumber"/>
        <w:rFonts w:ascii="Verdana" w:hAnsi="Verdana"/>
        <w:noProof/>
        <w:sz w:val="18"/>
      </w:rPr>
      <w:t>437</w:t>
    </w:r>
    <w:r w:rsidRPr="0030197E">
      <w:rPr>
        <w:rStyle w:val="PageNumber"/>
        <w:rFonts w:ascii="Verdana" w:hAnsi="Verdana"/>
        <w:sz w:val="18"/>
      </w:rPr>
      <w:fldChar w:fldCharType="end"/>
    </w:r>
  </w:p>
  <w:p w:rsidR="00955B97" w:rsidRDefault="004D258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B97" w:rsidRDefault="004D258D">
    <w:pPr>
      <w:pStyle w:val="Footer"/>
    </w:pPr>
  </w:p>
  <w:p w:rsidR="00955B97" w:rsidRDefault="004D258D" w:rsidP="00FD5EC4">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8D" w:rsidRDefault="004D258D">
      <w:r>
        <w:separator/>
      </w:r>
    </w:p>
  </w:footnote>
  <w:footnote w:type="continuationSeparator" w:id="0">
    <w:p w:rsidR="004D258D" w:rsidRDefault="004D2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854"/>
      <w:gridCol w:w="900"/>
      <w:gridCol w:w="1794"/>
      <w:gridCol w:w="2126"/>
      <w:gridCol w:w="1843"/>
    </w:tblGrid>
    <w:tr w:rsidR="00955B97" w:rsidRPr="00A01C00" w:rsidTr="00986E3A">
      <w:trPr>
        <w:cantSplit/>
        <w:trHeight w:val="699"/>
      </w:trPr>
      <w:tc>
        <w:tcPr>
          <w:tcW w:w="1690" w:type="dxa"/>
          <w:vMerge w:val="restart"/>
          <w:vAlign w:val="center"/>
        </w:tcPr>
        <w:p w:rsidR="00955B97" w:rsidRPr="00A01C00" w:rsidRDefault="003B2FF6" w:rsidP="002C5108">
          <w:pPr>
            <w:pStyle w:val="Header"/>
            <w:jc w:val="center"/>
          </w:pPr>
          <w:r w:rsidRPr="00A01C00">
            <w:rPr>
              <w:noProof/>
              <w:lang w:val="en-US" w:eastAsia="en-US"/>
            </w:rPr>
            <w:drawing>
              <wp:inline distT="0" distB="0" distL="0" distR="0" wp14:anchorId="3D054AB4" wp14:editId="0F0FA9B2">
                <wp:extent cx="876300" cy="514350"/>
                <wp:effectExtent l="0" t="0" r="0" b="0"/>
                <wp:docPr id="1" name="Picture 1" descr="logo nov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vo para documen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14350"/>
                        </a:xfrm>
                        <a:prstGeom prst="rect">
                          <a:avLst/>
                        </a:prstGeom>
                        <a:noFill/>
                        <a:ln>
                          <a:noFill/>
                        </a:ln>
                      </pic:spPr>
                    </pic:pic>
                  </a:graphicData>
                </a:graphic>
              </wp:inline>
            </w:drawing>
          </w:r>
        </w:p>
      </w:tc>
      <w:tc>
        <w:tcPr>
          <w:tcW w:w="6674" w:type="dxa"/>
          <w:gridSpan w:val="4"/>
        </w:tcPr>
        <w:p w:rsidR="00955B97" w:rsidRPr="00A01C00" w:rsidRDefault="003B2FF6" w:rsidP="00CB6140">
          <w:pPr>
            <w:pStyle w:val="Heading3"/>
            <w:numPr>
              <w:ilvl w:val="0"/>
              <w:numId w:val="0"/>
            </w:numPr>
            <w:spacing w:before="0" w:after="0"/>
            <w:jc w:val="center"/>
            <w:rPr>
              <w:b/>
              <w:sz w:val="24"/>
            </w:rPr>
          </w:pPr>
          <w:r w:rsidRPr="00A01C00">
            <w:rPr>
              <w:b/>
              <w:sz w:val="24"/>
            </w:rPr>
            <w:t>Manual de Normas e Procedimentos</w:t>
          </w:r>
        </w:p>
        <w:p w:rsidR="00955B97" w:rsidRPr="00A01C00" w:rsidRDefault="00A01C00" w:rsidP="00733F4D">
          <w:pPr>
            <w:pStyle w:val="Heading3"/>
            <w:numPr>
              <w:ilvl w:val="0"/>
              <w:numId w:val="0"/>
            </w:numPr>
            <w:spacing w:before="0" w:after="0"/>
            <w:jc w:val="center"/>
            <w:rPr>
              <w:b/>
            </w:rPr>
          </w:pPr>
          <w:r w:rsidRPr="00A01C00">
            <w:rPr>
              <w:rFonts w:cs="Arial"/>
            </w:rPr>
            <w:t xml:space="preserve">Honorários Advocatícios Sucumbenciais  </w:t>
          </w:r>
        </w:p>
      </w:tc>
      <w:tc>
        <w:tcPr>
          <w:tcW w:w="1843" w:type="dxa"/>
        </w:tcPr>
        <w:p w:rsidR="00955B97" w:rsidRPr="00A01C00" w:rsidRDefault="003B2FF6" w:rsidP="00E54DF8">
          <w:pPr>
            <w:pStyle w:val="Header"/>
            <w:spacing w:before="0" w:after="0"/>
            <w:jc w:val="left"/>
          </w:pPr>
          <w:r w:rsidRPr="00A01C00">
            <w:rPr>
              <w:b/>
            </w:rPr>
            <w:t>Nº:</w:t>
          </w:r>
          <w:r w:rsidRPr="00A01C00">
            <w:rPr>
              <w:b/>
            </w:rPr>
            <w:br/>
          </w:r>
          <w:r w:rsidR="00A01C00" w:rsidRPr="00A01C00">
            <w:t>NG GJU 03</w:t>
          </w:r>
        </w:p>
      </w:tc>
    </w:tr>
    <w:tr w:rsidR="00955B97" w:rsidRPr="00A01C00" w:rsidTr="00986E3A">
      <w:trPr>
        <w:cantSplit/>
        <w:trHeight w:val="558"/>
      </w:trPr>
      <w:tc>
        <w:tcPr>
          <w:tcW w:w="1690" w:type="dxa"/>
          <w:vMerge/>
        </w:tcPr>
        <w:p w:rsidR="00955B97" w:rsidRPr="00A01C00" w:rsidRDefault="004D258D">
          <w:pPr>
            <w:pStyle w:val="Header"/>
          </w:pPr>
        </w:p>
      </w:tc>
      <w:tc>
        <w:tcPr>
          <w:tcW w:w="1854" w:type="dxa"/>
        </w:tcPr>
        <w:p w:rsidR="00955B97" w:rsidRPr="00A01C00" w:rsidRDefault="003B2FF6" w:rsidP="00A01C00">
          <w:pPr>
            <w:pStyle w:val="Header"/>
            <w:spacing w:before="0" w:after="0"/>
            <w:jc w:val="left"/>
            <w:rPr>
              <w:b/>
              <w:sz w:val="16"/>
            </w:rPr>
          </w:pPr>
          <w:r w:rsidRPr="00A01C00">
            <w:rPr>
              <w:b/>
              <w:sz w:val="16"/>
            </w:rPr>
            <w:t>Data elaboração:</w:t>
          </w:r>
          <w:r w:rsidRPr="00A01C00">
            <w:rPr>
              <w:b/>
              <w:sz w:val="16"/>
            </w:rPr>
            <w:br/>
          </w:r>
          <w:r w:rsidR="004A6D1C">
            <w:rPr>
              <w:sz w:val="16"/>
            </w:rPr>
            <w:t>08/12</w:t>
          </w:r>
          <w:r w:rsidRPr="00A01C00">
            <w:rPr>
              <w:sz w:val="16"/>
            </w:rPr>
            <w:t>/</w:t>
          </w:r>
          <w:r w:rsidR="00A01C00" w:rsidRPr="00A01C00">
            <w:rPr>
              <w:sz w:val="16"/>
            </w:rPr>
            <w:t>20</w:t>
          </w:r>
          <w:r w:rsidRPr="00A01C00">
            <w:rPr>
              <w:sz w:val="16"/>
            </w:rPr>
            <w:t>17</w:t>
          </w:r>
        </w:p>
      </w:tc>
      <w:tc>
        <w:tcPr>
          <w:tcW w:w="900" w:type="dxa"/>
        </w:tcPr>
        <w:p w:rsidR="00955B97" w:rsidRPr="00A01C00" w:rsidRDefault="003B2FF6" w:rsidP="00BC74EB">
          <w:pPr>
            <w:pStyle w:val="Header"/>
            <w:spacing w:before="0" w:after="0"/>
            <w:rPr>
              <w:b/>
              <w:sz w:val="16"/>
            </w:rPr>
          </w:pPr>
          <w:r w:rsidRPr="00A01C00">
            <w:rPr>
              <w:b/>
              <w:sz w:val="16"/>
            </w:rPr>
            <w:t>Versão:</w:t>
          </w:r>
          <w:r w:rsidRPr="00A01C00">
            <w:rPr>
              <w:b/>
              <w:sz w:val="16"/>
            </w:rPr>
            <w:br/>
          </w:r>
          <w:r w:rsidRPr="00A01C00">
            <w:rPr>
              <w:sz w:val="16"/>
            </w:rPr>
            <w:t>1.0</w:t>
          </w:r>
        </w:p>
      </w:tc>
      <w:tc>
        <w:tcPr>
          <w:tcW w:w="1794" w:type="dxa"/>
        </w:tcPr>
        <w:p w:rsidR="00955B97" w:rsidRPr="00A01C00" w:rsidRDefault="003B2FF6" w:rsidP="00733F4D">
          <w:pPr>
            <w:pStyle w:val="Header"/>
            <w:spacing w:before="0" w:after="0"/>
            <w:jc w:val="left"/>
            <w:rPr>
              <w:b/>
              <w:sz w:val="16"/>
            </w:rPr>
          </w:pPr>
          <w:r w:rsidRPr="00A01C00">
            <w:rPr>
              <w:b/>
              <w:sz w:val="16"/>
            </w:rPr>
            <w:t>Autor:</w:t>
          </w:r>
          <w:r w:rsidRPr="00A01C00">
            <w:rPr>
              <w:b/>
              <w:sz w:val="16"/>
            </w:rPr>
            <w:br/>
          </w:r>
          <w:r w:rsidRPr="00A01C00">
            <w:rPr>
              <w:sz w:val="16"/>
            </w:rPr>
            <w:t>PwC</w:t>
          </w:r>
        </w:p>
      </w:tc>
      <w:tc>
        <w:tcPr>
          <w:tcW w:w="2126" w:type="dxa"/>
        </w:tcPr>
        <w:p w:rsidR="00955B97" w:rsidRPr="00A01C00" w:rsidRDefault="003B2FF6" w:rsidP="00A01C00">
          <w:pPr>
            <w:pStyle w:val="Header"/>
            <w:spacing w:before="0" w:after="0"/>
            <w:jc w:val="left"/>
            <w:rPr>
              <w:b/>
              <w:sz w:val="16"/>
              <w:highlight w:val="yellow"/>
            </w:rPr>
          </w:pPr>
          <w:r w:rsidRPr="00A01C00">
            <w:rPr>
              <w:b/>
              <w:sz w:val="16"/>
            </w:rPr>
            <w:t>Revisado por:</w:t>
          </w:r>
          <w:r w:rsidRPr="00A01C00">
            <w:rPr>
              <w:b/>
              <w:sz w:val="16"/>
              <w:highlight w:val="yellow"/>
            </w:rPr>
            <w:br/>
          </w:r>
          <w:r w:rsidR="00A01C00" w:rsidRPr="00A01C00">
            <w:rPr>
              <w:sz w:val="16"/>
            </w:rPr>
            <w:t>Marcio Miglioli</w:t>
          </w:r>
        </w:p>
      </w:tc>
      <w:tc>
        <w:tcPr>
          <w:tcW w:w="1843" w:type="dxa"/>
        </w:tcPr>
        <w:p w:rsidR="00955B97" w:rsidRPr="00A01C00" w:rsidRDefault="003B2FF6" w:rsidP="00733F4D">
          <w:pPr>
            <w:pStyle w:val="Header"/>
            <w:spacing w:before="0" w:after="0"/>
            <w:jc w:val="left"/>
            <w:rPr>
              <w:b/>
              <w:sz w:val="16"/>
            </w:rPr>
          </w:pPr>
          <w:r w:rsidRPr="00A01C00">
            <w:rPr>
              <w:b/>
              <w:sz w:val="16"/>
            </w:rPr>
            <w:t>Última revisão:</w:t>
          </w:r>
        </w:p>
        <w:p w:rsidR="00955B97" w:rsidRPr="00A01C00" w:rsidRDefault="004A6D1C" w:rsidP="00733F4D">
          <w:pPr>
            <w:pStyle w:val="Header"/>
            <w:spacing w:before="0" w:after="0"/>
            <w:jc w:val="left"/>
            <w:rPr>
              <w:sz w:val="16"/>
            </w:rPr>
          </w:pPr>
          <w:r>
            <w:rPr>
              <w:sz w:val="16"/>
            </w:rPr>
            <w:t>08</w:t>
          </w:r>
          <w:r w:rsidR="0053306C">
            <w:rPr>
              <w:sz w:val="16"/>
            </w:rPr>
            <w:t>/12</w:t>
          </w:r>
          <w:r w:rsidR="003B2FF6" w:rsidRPr="00A01C00">
            <w:rPr>
              <w:sz w:val="16"/>
            </w:rPr>
            <w:t>/2017</w:t>
          </w:r>
        </w:p>
      </w:tc>
    </w:tr>
  </w:tbl>
  <w:p w:rsidR="00955B97" w:rsidRDefault="004D2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48E"/>
    <w:multiLevelType w:val="hybridMultilevel"/>
    <w:tmpl w:val="A91E79DC"/>
    <w:lvl w:ilvl="0" w:tplc="CBFE8C58">
      <w:start w:val="1"/>
      <w:numFmt w:val="lowerRoman"/>
      <w:lvlText w:val="%1)"/>
      <w:lvlJc w:val="left"/>
      <w:pPr>
        <w:ind w:left="11" w:hanging="72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 w15:restartNumberingAfterBreak="0">
    <w:nsid w:val="01F366E3"/>
    <w:multiLevelType w:val="hybridMultilevel"/>
    <w:tmpl w:val="557AB970"/>
    <w:lvl w:ilvl="0" w:tplc="04160001">
      <w:start w:val="1"/>
      <w:numFmt w:val="bullet"/>
      <w:lvlText w:val=""/>
      <w:lvlJc w:val="left"/>
      <w:pPr>
        <w:tabs>
          <w:tab w:val="num" w:pos="3779"/>
        </w:tabs>
        <w:ind w:left="3779" w:hanging="360"/>
      </w:pPr>
      <w:rPr>
        <w:rFonts w:ascii="Symbol" w:hAnsi="Symbol" w:hint="default"/>
      </w:rPr>
    </w:lvl>
    <w:lvl w:ilvl="1" w:tplc="33AE1A32">
      <w:start w:val="1"/>
      <w:numFmt w:val="lowerLetter"/>
      <w:lvlText w:val="%2)"/>
      <w:lvlJc w:val="left"/>
      <w:pPr>
        <w:tabs>
          <w:tab w:val="num" w:pos="1778"/>
        </w:tabs>
        <w:ind w:left="1701" w:hanging="283"/>
      </w:pPr>
      <w:rPr>
        <w:rFonts w:hint="default"/>
      </w:rPr>
    </w:lvl>
    <w:lvl w:ilvl="2" w:tplc="33AE1A32">
      <w:start w:val="1"/>
      <w:numFmt w:val="lowerLetter"/>
      <w:lvlText w:val="%3)"/>
      <w:lvlJc w:val="left"/>
      <w:pPr>
        <w:tabs>
          <w:tab w:val="num" w:pos="2782"/>
        </w:tabs>
        <w:ind w:left="2705" w:hanging="283"/>
      </w:pPr>
      <w:rPr>
        <w:rFonts w:hint="default"/>
      </w:rPr>
    </w:lvl>
    <w:lvl w:ilvl="3" w:tplc="0416000F">
      <w:start w:val="1"/>
      <w:numFmt w:val="decimal"/>
      <w:lvlText w:val="%4."/>
      <w:lvlJc w:val="left"/>
      <w:pPr>
        <w:tabs>
          <w:tab w:val="num" w:pos="3322"/>
        </w:tabs>
        <w:ind w:left="3322" w:hanging="360"/>
      </w:pPr>
    </w:lvl>
    <w:lvl w:ilvl="4" w:tplc="04160019" w:tentative="1">
      <w:start w:val="1"/>
      <w:numFmt w:val="lowerLetter"/>
      <w:lvlText w:val="%5."/>
      <w:lvlJc w:val="left"/>
      <w:pPr>
        <w:tabs>
          <w:tab w:val="num" w:pos="4042"/>
        </w:tabs>
        <w:ind w:left="4042" w:hanging="360"/>
      </w:pPr>
    </w:lvl>
    <w:lvl w:ilvl="5" w:tplc="0416001B" w:tentative="1">
      <w:start w:val="1"/>
      <w:numFmt w:val="lowerRoman"/>
      <w:lvlText w:val="%6."/>
      <w:lvlJc w:val="right"/>
      <w:pPr>
        <w:tabs>
          <w:tab w:val="num" w:pos="4762"/>
        </w:tabs>
        <w:ind w:left="4762" w:hanging="180"/>
      </w:pPr>
    </w:lvl>
    <w:lvl w:ilvl="6" w:tplc="0416000F" w:tentative="1">
      <w:start w:val="1"/>
      <w:numFmt w:val="decimal"/>
      <w:lvlText w:val="%7."/>
      <w:lvlJc w:val="left"/>
      <w:pPr>
        <w:tabs>
          <w:tab w:val="num" w:pos="5482"/>
        </w:tabs>
        <w:ind w:left="5482" w:hanging="360"/>
      </w:pPr>
    </w:lvl>
    <w:lvl w:ilvl="7" w:tplc="04160019" w:tentative="1">
      <w:start w:val="1"/>
      <w:numFmt w:val="lowerLetter"/>
      <w:lvlText w:val="%8."/>
      <w:lvlJc w:val="left"/>
      <w:pPr>
        <w:tabs>
          <w:tab w:val="num" w:pos="6202"/>
        </w:tabs>
        <w:ind w:left="6202" w:hanging="360"/>
      </w:pPr>
    </w:lvl>
    <w:lvl w:ilvl="8" w:tplc="0416001B" w:tentative="1">
      <w:start w:val="1"/>
      <w:numFmt w:val="lowerRoman"/>
      <w:lvlText w:val="%9."/>
      <w:lvlJc w:val="right"/>
      <w:pPr>
        <w:tabs>
          <w:tab w:val="num" w:pos="6922"/>
        </w:tabs>
        <w:ind w:left="6922" w:hanging="180"/>
      </w:pPr>
    </w:lvl>
  </w:abstractNum>
  <w:abstractNum w:abstractNumId="2" w15:restartNumberingAfterBreak="0">
    <w:nsid w:val="0EA90E48"/>
    <w:multiLevelType w:val="hybridMultilevel"/>
    <w:tmpl w:val="D324B0C0"/>
    <w:lvl w:ilvl="0" w:tplc="0416000F">
      <w:start w:val="1"/>
      <w:numFmt w:val="decimal"/>
      <w:lvlText w:val="%1."/>
      <w:lvlJc w:val="left"/>
      <w:pPr>
        <w:ind w:left="76" w:hanging="360"/>
      </w:pPr>
      <w:rPr>
        <w:b w:val="0"/>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 w15:restartNumberingAfterBreak="0">
    <w:nsid w:val="0FA27A94"/>
    <w:multiLevelType w:val="hybridMultilevel"/>
    <w:tmpl w:val="480C6876"/>
    <w:lvl w:ilvl="0" w:tplc="E82C8BB0">
      <w:numFmt w:val="bullet"/>
      <w:lvlText w:val="•"/>
      <w:lvlJc w:val="left"/>
      <w:pPr>
        <w:ind w:left="66" w:hanging="360"/>
      </w:pPr>
      <w:rPr>
        <w:rFonts w:ascii="Verdana" w:eastAsia="Times New Roman" w:hAnsi="Verdana" w:cs="Times New Roman" w:hint="default"/>
      </w:rPr>
    </w:lvl>
    <w:lvl w:ilvl="1" w:tplc="04160003" w:tentative="1">
      <w:start w:val="1"/>
      <w:numFmt w:val="bullet"/>
      <w:lvlText w:val="o"/>
      <w:lvlJc w:val="left"/>
      <w:pPr>
        <w:ind w:left="786" w:hanging="360"/>
      </w:pPr>
      <w:rPr>
        <w:rFonts w:ascii="Courier New" w:hAnsi="Courier New" w:cs="Courier New" w:hint="default"/>
      </w:rPr>
    </w:lvl>
    <w:lvl w:ilvl="2" w:tplc="04160005" w:tentative="1">
      <w:start w:val="1"/>
      <w:numFmt w:val="bullet"/>
      <w:lvlText w:val=""/>
      <w:lvlJc w:val="left"/>
      <w:pPr>
        <w:ind w:left="1506" w:hanging="360"/>
      </w:pPr>
      <w:rPr>
        <w:rFonts w:ascii="Wingdings" w:hAnsi="Wingdings" w:hint="default"/>
      </w:rPr>
    </w:lvl>
    <w:lvl w:ilvl="3" w:tplc="04160001" w:tentative="1">
      <w:start w:val="1"/>
      <w:numFmt w:val="bullet"/>
      <w:lvlText w:val=""/>
      <w:lvlJc w:val="left"/>
      <w:pPr>
        <w:ind w:left="2226" w:hanging="360"/>
      </w:pPr>
      <w:rPr>
        <w:rFonts w:ascii="Symbol" w:hAnsi="Symbol" w:hint="default"/>
      </w:rPr>
    </w:lvl>
    <w:lvl w:ilvl="4" w:tplc="04160003" w:tentative="1">
      <w:start w:val="1"/>
      <w:numFmt w:val="bullet"/>
      <w:lvlText w:val="o"/>
      <w:lvlJc w:val="left"/>
      <w:pPr>
        <w:ind w:left="2946" w:hanging="360"/>
      </w:pPr>
      <w:rPr>
        <w:rFonts w:ascii="Courier New" w:hAnsi="Courier New" w:cs="Courier New" w:hint="default"/>
      </w:rPr>
    </w:lvl>
    <w:lvl w:ilvl="5" w:tplc="04160005" w:tentative="1">
      <w:start w:val="1"/>
      <w:numFmt w:val="bullet"/>
      <w:lvlText w:val=""/>
      <w:lvlJc w:val="left"/>
      <w:pPr>
        <w:ind w:left="3666" w:hanging="360"/>
      </w:pPr>
      <w:rPr>
        <w:rFonts w:ascii="Wingdings" w:hAnsi="Wingdings" w:hint="default"/>
      </w:rPr>
    </w:lvl>
    <w:lvl w:ilvl="6" w:tplc="04160001" w:tentative="1">
      <w:start w:val="1"/>
      <w:numFmt w:val="bullet"/>
      <w:lvlText w:val=""/>
      <w:lvlJc w:val="left"/>
      <w:pPr>
        <w:ind w:left="4386" w:hanging="360"/>
      </w:pPr>
      <w:rPr>
        <w:rFonts w:ascii="Symbol" w:hAnsi="Symbol" w:hint="default"/>
      </w:rPr>
    </w:lvl>
    <w:lvl w:ilvl="7" w:tplc="04160003" w:tentative="1">
      <w:start w:val="1"/>
      <w:numFmt w:val="bullet"/>
      <w:lvlText w:val="o"/>
      <w:lvlJc w:val="left"/>
      <w:pPr>
        <w:ind w:left="5106" w:hanging="360"/>
      </w:pPr>
      <w:rPr>
        <w:rFonts w:ascii="Courier New" w:hAnsi="Courier New" w:cs="Courier New" w:hint="default"/>
      </w:rPr>
    </w:lvl>
    <w:lvl w:ilvl="8" w:tplc="04160005" w:tentative="1">
      <w:start w:val="1"/>
      <w:numFmt w:val="bullet"/>
      <w:lvlText w:val=""/>
      <w:lvlJc w:val="left"/>
      <w:pPr>
        <w:ind w:left="5826" w:hanging="360"/>
      </w:pPr>
      <w:rPr>
        <w:rFonts w:ascii="Wingdings" w:hAnsi="Wingdings" w:hint="default"/>
      </w:rPr>
    </w:lvl>
  </w:abstractNum>
  <w:abstractNum w:abstractNumId="4" w15:restartNumberingAfterBreak="0">
    <w:nsid w:val="12881D09"/>
    <w:multiLevelType w:val="multilevel"/>
    <w:tmpl w:val="5636D802"/>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483CF5"/>
    <w:multiLevelType w:val="hybridMultilevel"/>
    <w:tmpl w:val="BD8E747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15:restartNumberingAfterBreak="0">
    <w:nsid w:val="187F72FB"/>
    <w:multiLevelType w:val="multilevel"/>
    <w:tmpl w:val="76FC1B36"/>
    <w:lvl w:ilvl="0">
      <w:start w:val="4"/>
      <w:numFmt w:val="decimal"/>
      <w:lvlText w:val="%1"/>
      <w:lvlJc w:val="left"/>
      <w:pPr>
        <w:ind w:left="510" w:hanging="510"/>
      </w:pPr>
      <w:rPr>
        <w:rFonts w:hint="default"/>
      </w:rPr>
    </w:lvl>
    <w:lvl w:ilvl="1">
      <w:start w:val="2"/>
      <w:numFmt w:val="decimal"/>
      <w:suff w:val="space"/>
      <w:lvlText w:val="%2.1."/>
      <w:lvlJc w:val="left"/>
      <w:pPr>
        <w:ind w:left="720" w:hanging="720"/>
      </w:pPr>
      <w:rPr>
        <w:rFonts w:hint="default"/>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626916"/>
    <w:multiLevelType w:val="hybridMultilevel"/>
    <w:tmpl w:val="94B8EE00"/>
    <w:lvl w:ilvl="0" w:tplc="0416000F">
      <w:start w:val="1"/>
      <w:numFmt w:val="decimal"/>
      <w:lvlText w:val="%1."/>
      <w:lvlJc w:val="left"/>
      <w:pPr>
        <w:ind w:left="426" w:hanging="360"/>
      </w:p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8" w15:restartNumberingAfterBreak="0">
    <w:nsid w:val="2F9700DF"/>
    <w:multiLevelType w:val="hybridMultilevel"/>
    <w:tmpl w:val="2B3610C2"/>
    <w:lvl w:ilvl="0" w:tplc="86F4AA3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EA742B9"/>
    <w:multiLevelType w:val="multilevel"/>
    <w:tmpl w:val="3BC09B70"/>
    <w:lvl w:ilvl="0">
      <w:start w:val="4"/>
      <w:numFmt w:val="decimal"/>
      <w:lvlText w:val="%1"/>
      <w:lvlJc w:val="left"/>
      <w:pPr>
        <w:ind w:left="510" w:hanging="510"/>
      </w:pPr>
      <w:rPr>
        <w:rFonts w:hint="default"/>
      </w:rPr>
    </w:lvl>
    <w:lvl w:ilvl="1">
      <w:start w:val="5"/>
      <w:numFmt w:val="decimal"/>
      <w:suff w:val="space"/>
      <w:lvlText w:val="%2.1."/>
      <w:lvlJc w:val="left"/>
      <w:pPr>
        <w:ind w:left="720" w:hanging="720"/>
      </w:pPr>
      <w:rPr>
        <w:rFonts w:hint="default"/>
      </w:rPr>
    </w:lvl>
    <w:lvl w:ilvl="2">
      <w:start w:val="1"/>
      <w:numFmt w:val="decimal"/>
      <w:suff w:val="space"/>
      <w:lvlText w:val="%1.%2.%3"/>
      <w:lvlJc w:val="left"/>
      <w:pPr>
        <w:ind w:left="720" w:hanging="720"/>
      </w:pPr>
      <w:rPr>
        <w:rFonts w:hint="default"/>
        <w:b/>
      </w:rPr>
    </w:lvl>
    <w:lvl w:ilvl="3">
      <w:start w:val="1"/>
      <w:numFmt w:val="decimal"/>
      <w:suff w:val="space"/>
      <w:lvlText w:val="%1.%2.%3.%4"/>
      <w:lvlJc w:val="left"/>
      <w:pPr>
        <w:ind w:left="1080" w:hanging="1080"/>
      </w:pPr>
      <w:rPr>
        <w:rFonts w:hint="default"/>
        <w:b/>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1AF15F3"/>
    <w:multiLevelType w:val="hybridMultilevel"/>
    <w:tmpl w:val="5E02FAAE"/>
    <w:lvl w:ilvl="0" w:tplc="0416000F">
      <w:start w:val="1"/>
      <w:numFmt w:val="decimal"/>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11" w15:restartNumberingAfterBreak="0">
    <w:nsid w:val="4BFA6AF7"/>
    <w:multiLevelType w:val="multilevel"/>
    <w:tmpl w:val="879C05C0"/>
    <w:lvl w:ilvl="0">
      <w:start w:val="1"/>
      <w:numFmt w:val="decimal"/>
      <w:lvlText w:val="%1."/>
      <w:lvlJc w:val="left"/>
      <w:pPr>
        <w:tabs>
          <w:tab w:val="num" w:pos="432"/>
        </w:tabs>
        <w:ind w:left="432" w:hanging="432"/>
      </w:pPr>
    </w:lvl>
    <w:lvl w:ilvl="1">
      <w:start w:val="1"/>
      <w:numFmt w:val="decimal"/>
      <w:pStyle w:val="Heading2"/>
      <w:lvlText w:val="%1.%2."/>
      <w:lvlJc w:val="left"/>
      <w:pPr>
        <w:tabs>
          <w:tab w:val="num" w:pos="720"/>
        </w:tabs>
        <w:ind w:left="576" w:hanging="576"/>
      </w:pPr>
    </w:lvl>
    <w:lvl w:ilvl="2">
      <w:start w:val="1"/>
      <w:numFmt w:val="decimal"/>
      <w:pStyle w:val="Heading3"/>
      <w:lvlText w:val="%1.%2.%3."/>
      <w:lvlJc w:val="left"/>
      <w:pPr>
        <w:tabs>
          <w:tab w:val="num" w:pos="108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15:restartNumberingAfterBreak="0">
    <w:nsid w:val="4C1E71B6"/>
    <w:multiLevelType w:val="multilevel"/>
    <w:tmpl w:val="F7446C58"/>
    <w:lvl w:ilvl="0">
      <w:start w:val="3"/>
      <w:numFmt w:val="decimal"/>
      <w:lvlText w:val="%1"/>
      <w:lvlJc w:val="left"/>
      <w:pPr>
        <w:ind w:left="360" w:hanging="360"/>
      </w:pPr>
      <w:rPr>
        <w:rFonts w:hint="default"/>
      </w:rPr>
    </w:lvl>
    <w:lvl w:ilvl="1">
      <w:start w:val="1"/>
      <w:numFmt w:val="decimal"/>
      <w:lvlText w:val="%1.%2"/>
      <w:lvlJc w:val="left"/>
      <w:pPr>
        <w:ind w:left="436" w:hanging="720"/>
      </w:pPr>
      <w:rPr>
        <w:rFonts w:hint="default"/>
        <w:b w:val="0"/>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304" w:hanging="144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72" w:hanging="2160"/>
      </w:pPr>
      <w:rPr>
        <w:rFonts w:hint="default"/>
      </w:rPr>
    </w:lvl>
    <w:lvl w:ilvl="8">
      <w:start w:val="1"/>
      <w:numFmt w:val="decimal"/>
      <w:lvlText w:val="%1.%2.%3.%4.%5.%6.%7.%8.%9"/>
      <w:lvlJc w:val="left"/>
      <w:pPr>
        <w:ind w:left="-112" w:hanging="2160"/>
      </w:pPr>
      <w:rPr>
        <w:rFonts w:hint="default"/>
      </w:rPr>
    </w:lvl>
  </w:abstractNum>
  <w:abstractNum w:abstractNumId="13" w15:restartNumberingAfterBreak="0">
    <w:nsid w:val="53900B6D"/>
    <w:multiLevelType w:val="multilevel"/>
    <w:tmpl w:val="0E82E634"/>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5C532539"/>
    <w:multiLevelType w:val="multilevel"/>
    <w:tmpl w:val="00A6484E"/>
    <w:lvl w:ilvl="0">
      <w:start w:val="1"/>
      <w:numFmt w:val="decimal"/>
      <w:suff w:val="space"/>
      <w:lvlText w:val="%1."/>
      <w:lvlJc w:val="left"/>
      <w:pPr>
        <w:ind w:left="360" w:hanging="360"/>
      </w:pPr>
      <w:rPr>
        <w:rFonts w:hint="default"/>
        <w:color w:val="auto"/>
      </w:rPr>
    </w:lvl>
    <w:lvl w:ilvl="1">
      <w:start w:val="1"/>
      <w:numFmt w:val="decimal"/>
      <w:suff w:val="space"/>
      <w:lvlText w:val="%1.%2."/>
      <w:lvlJc w:val="left"/>
      <w:pPr>
        <w:ind w:left="792" w:hanging="432"/>
      </w:pPr>
      <w:rPr>
        <w:rFonts w:hint="default"/>
        <w:b/>
      </w:rPr>
    </w:lvl>
    <w:lvl w:ilvl="2">
      <w:start w:val="1"/>
      <w:numFmt w:val="decimal"/>
      <w:suff w:val="space"/>
      <w:lvlText w:val="%1.%2.%3."/>
      <w:lvlJc w:val="left"/>
      <w:pPr>
        <w:ind w:left="1224" w:hanging="504"/>
      </w:pPr>
      <w:rPr>
        <w:rFonts w:hint="default"/>
        <w:b/>
      </w:rPr>
    </w:lvl>
    <w:lvl w:ilvl="3">
      <w:start w:val="1"/>
      <w:numFmt w:val="decimal"/>
      <w:suff w:val="space"/>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0E15DF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FA0104A"/>
    <w:multiLevelType w:val="multilevel"/>
    <w:tmpl w:val="C0F89984"/>
    <w:lvl w:ilvl="0">
      <w:start w:val="3"/>
      <w:numFmt w:val="decimal"/>
      <w:lvlText w:val="%1."/>
      <w:lvlJc w:val="left"/>
      <w:pPr>
        <w:ind w:left="585" w:hanging="585"/>
      </w:pPr>
      <w:rPr>
        <w:rFonts w:hint="default"/>
        <w:b w:val="0"/>
      </w:rPr>
    </w:lvl>
    <w:lvl w:ilvl="1">
      <w:start w:val="1"/>
      <w:numFmt w:val="decimal"/>
      <w:lvlText w:val="%1.%2."/>
      <w:lvlJc w:val="left"/>
      <w:pPr>
        <w:ind w:left="720" w:hanging="720"/>
      </w:pPr>
      <w:rPr>
        <w:rFonts w:hint="default"/>
        <w:b w:val="0"/>
      </w:rPr>
    </w:lvl>
    <w:lvl w:ilvl="2">
      <w:start w:val="1"/>
      <w:numFmt w:val="decimal"/>
      <w:suff w:val="space"/>
      <w:lvlText w:val="%1.%2.%3."/>
      <w:lvlJc w:val="left"/>
      <w:pPr>
        <w:ind w:left="1080" w:hanging="108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7" w15:restartNumberingAfterBreak="0">
    <w:nsid w:val="6FB41695"/>
    <w:multiLevelType w:val="hybridMultilevel"/>
    <w:tmpl w:val="FDDE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195E76"/>
    <w:multiLevelType w:val="hybridMultilevel"/>
    <w:tmpl w:val="2266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0"/>
  </w:num>
  <w:num w:numId="4">
    <w:abstractNumId w:val="1"/>
  </w:num>
  <w:num w:numId="5">
    <w:abstractNumId w:val="7"/>
  </w:num>
  <w:num w:numId="6">
    <w:abstractNumId w:val="3"/>
  </w:num>
  <w:num w:numId="7">
    <w:abstractNumId w:val="8"/>
  </w:num>
  <w:num w:numId="8">
    <w:abstractNumId w:val="15"/>
  </w:num>
  <w:num w:numId="9">
    <w:abstractNumId w:val="10"/>
  </w:num>
  <w:num w:numId="10">
    <w:abstractNumId w:val="2"/>
  </w:num>
  <w:num w:numId="11">
    <w:abstractNumId w:val="12"/>
  </w:num>
  <w:num w:numId="12">
    <w:abstractNumId w:val="17"/>
  </w:num>
  <w:num w:numId="13">
    <w:abstractNumId w:val="5"/>
  </w:num>
  <w:num w:numId="14">
    <w:abstractNumId w:val="1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3"/>
  </w:num>
  <w:num w:numId="19">
    <w:abstractNumId w:val="16"/>
  </w:num>
  <w:num w:numId="2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26"/>
    <w:rsid w:val="00023F92"/>
    <w:rsid w:val="00037B3F"/>
    <w:rsid w:val="00050037"/>
    <w:rsid w:val="00074482"/>
    <w:rsid w:val="0008641E"/>
    <w:rsid w:val="0013548A"/>
    <w:rsid w:val="0017436C"/>
    <w:rsid w:val="00177C08"/>
    <w:rsid w:val="001870DF"/>
    <w:rsid w:val="001C761E"/>
    <w:rsid w:val="001D5411"/>
    <w:rsid w:val="0020690E"/>
    <w:rsid w:val="00333826"/>
    <w:rsid w:val="003368B7"/>
    <w:rsid w:val="00353A27"/>
    <w:rsid w:val="00373B45"/>
    <w:rsid w:val="00375500"/>
    <w:rsid w:val="003B2FF6"/>
    <w:rsid w:val="003F085F"/>
    <w:rsid w:val="004321AE"/>
    <w:rsid w:val="00455299"/>
    <w:rsid w:val="00470AB5"/>
    <w:rsid w:val="004A6D1C"/>
    <w:rsid w:val="004C46EC"/>
    <w:rsid w:val="004D258D"/>
    <w:rsid w:val="004F1EE4"/>
    <w:rsid w:val="004F6FEE"/>
    <w:rsid w:val="0053306C"/>
    <w:rsid w:val="005344D7"/>
    <w:rsid w:val="005F1D8A"/>
    <w:rsid w:val="00681665"/>
    <w:rsid w:val="00692B8F"/>
    <w:rsid w:val="007F2BA2"/>
    <w:rsid w:val="00927544"/>
    <w:rsid w:val="00963BBA"/>
    <w:rsid w:val="00985619"/>
    <w:rsid w:val="00A01C00"/>
    <w:rsid w:val="00A2206C"/>
    <w:rsid w:val="00A76202"/>
    <w:rsid w:val="00A83582"/>
    <w:rsid w:val="00A904A7"/>
    <w:rsid w:val="00B30188"/>
    <w:rsid w:val="00B6547E"/>
    <w:rsid w:val="00B9284C"/>
    <w:rsid w:val="00BC2098"/>
    <w:rsid w:val="00C42CB6"/>
    <w:rsid w:val="00CA4988"/>
    <w:rsid w:val="00CE60FB"/>
    <w:rsid w:val="00D12AC6"/>
    <w:rsid w:val="00D86DE8"/>
    <w:rsid w:val="00E62D60"/>
    <w:rsid w:val="00E6622B"/>
    <w:rsid w:val="00FB58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23D926"/>
  <w15:docId w15:val="{504F91F3-F55B-4AC7-A2EE-F10B355F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7B9"/>
    <w:rPr>
      <w:sz w:val="24"/>
      <w:szCs w:val="24"/>
    </w:rPr>
  </w:style>
  <w:style w:type="paragraph" w:styleId="Heading1">
    <w:name w:val="heading 1"/>
    <w:basedOn w:val="Normal"/>
    <w:next w:val="Normal"/>
    <w:qFormat/>
    <w:rsid w:val="003D67B9"/>
    <w:pPr>
      <w:spacing w:before="360" w:after="120" w:line="360" w:lineRule="auto"/>
      <w:jc w:val="both"/>
      <w:outlineLvl w:val="0"/>
    </w:pPr>
    <w:rPr>
      <w:rFonts w:ascii="Verdana" w:hAnsi="Verdana"/>
      <w:b/>
      <w:szCs w:val="20"/>
    </w:rPr>
  </w:style>
  <w:style w:type="paragraph" w:styleId="Heading2">
    <w:name w:val="heading 2"/>
    <w:basedOn w:val="Normal"/>
    <w:next w:val="Normal"/>
    <w:qFormat/>
    <w:rsid w:val="003D67B9"/>
    <w:pPr>
      <w:keepNext/>
      <w:numPr>
        <w:ilvl w:val="1"/>
        <w:numId w:val="1"/>
      </w:numPr>
      <w:spacing w:before="360" w:after="240"/>
      <w:outlineLvl w:val="1"/>
    </w:pPr>
    <w:rPr>
      <w:rFonts w:ascii="Verdana" w:hAnsi="Verdana"/>
      <w:b/>
      <w:sz w:val="20"/>
      <w:szCs w:val="20"/>
    </w:rPr>
  </w:style>
  <w:style w:type="paragraph" w:styleId="Heading3">
    <w:name w:val="heading 3"/>
    <w:basedOn w:val="Heading2"/>
    <w:next w:val="Normal"/>
    <w:qFormat/>
    <w:rsid w:val="003D67B9"/>
    <w:pPr>
      <w:tabs>
        <w:tab w:val="num" w:pos="360"/>
      </w:tabs>
      <w:spacing w:before="120"/>
      <w:outlineLvl w:val="2"/>
    </w:pPr>
    <w:rPr>
      <w:b w:val="0"/>
      <w:i/>
    </w:rPr>
  </w:style>
  <w:style w:type="paragraph" w:styleId="Heading4">
    <w:name w:val="heading 4"/>
    <w:basedOn w:val="Normal"/>
    <w:next w:val="Normal"/>
    <w:qFormat/>
    <w:rsid w:val="003D67B9"/>
    <w:pPr>
      <w:keepNext/>
      <w:numPr>
        <w:ilvl w:val="3"/>
        <w:numId w:val="1"/>
      </w:numPr>
      <w:spacing w:before="60" w:after="60"/>
      <w:jc w:val="center"/>
      <w:outlineLvl w:val="3"/>
    </w:pPr>
    <w:rPr>
      <w:rFonts w:ascii="Verdana" w:hAnsi="Verdana"/>
      <w:sz w:val="44"/>
      <w:szCs w:val="20"/>
    </w:rPr>
  </w:style>
  <w:style w:type="paragraph" w:styleId="Heading5">
    <w:name w:val="heading 5"/>
    <w:basedOn w:val="Normal"/>
    <w:next w:val="Normal"/>
    <w:qFormat/>
    <w:rsid w:val="003D67B9"/>
    <w:pPr>
      <w:keepNext/>
      <w:numPr>
        <w:ilvl w:val="4"/>
        <w:numId w:val="1"/>
      </w:numPr>
      <w:spacing w:before="60" w:after="60"/>
      <w:jc w:val="center"/>
      <w:outlineLvl w:val="4"/>
    </w:pPr>
    <w:rPr>
      <w:rFonts w:ascii="Verdana" w:hAnsi="Verdana"/>
      <w:sz w:val="36"/>
      <w:szCs w:val="20"/>
    </w:rPr>
  </w:style>
  <w:style w:type="paragraph" w:styleId="Heading6">
    <w:name w:val="heading 6"/>
    <w:basedOn w:val="Normal"/>
    <w:next w:val="Normal"/>
    <w:qFormat/>
    <w:rsid w:val="003D67B9"/>
    <w:pPr>
      <w:keepNext/>
      <w:numPr>
        <w:ilvl w:val="5"/>
        <w:numId w:val="1"/>
      </w:numPr>
      <w:spacing w:before="60" w:after="60"/>
      <w:jc w:val="center"/>
      <w:outlineLvl w:val="5"/>
    </w:pPr>
    <w:rPr>
      <w:rFonts w:ascii="Verdana" w:hAnsi="Verdana"/>
      <w:sz w:val="52"/>
      <w:szCs w:val="20"/>
    </w:rPr>
  </w:style>
  <w:style w:type="paragraph" w:styleId="Heading7">
    <w:name w:val="heading 7"/>
    <w:basedOn w:val="Normal"/>
    <w:next w:val="Normal"/>
    <w:qFormat/>
    <w:rsid w:val="003D67B9"/>
    <w:pPr>
      <w:keepNext/>
      <w:numPr>
        <w:ilvl w:val="6"/>
        <w:numId w:val="1"/>
      </w:numPr>
      <w:spacing w:before="60" w:after="60"/>
      <w:jc w:val="both"/>
      <w:outlineLvl w:val="6"/>
    </w:pPr>
    <w:rPr>
      <w:rFonts w:ascii="Verdana" w:hAnsi="Verdana"/>
      <w:b/>
      <w:szCs w:val="20"/>
    </w:rPr>
  </w:style>
  <w:style w:type="paragraph" w:styleId="Heading8">
    <w:name w:val="heading 8"/>
    <w:basedOn w:val="Normal"/>
    <w:next w:val="Normal"/>
    <w:qFormat/>
    <w:rsid w:val="003D67B9"/>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rsid w:val="003D67B9"/>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67B9"/>
    <w:pPr>
      <w:jc w:val="both"/>
    </w:pPr>
  </w:style>
  <w:style w:type="paragraph" w:styleId="Footer">
    <w:name w:val="footer"/>
    <w:basedOn w:val="Normal"/>
    <w:link w:val="FooterChar"/>
    <w:uiPriority w:val="99"/>
    <w:rsid w:val="003D67B9"/>
    <w:pPr>
      <w:tabs>
        <w:tab w:val="center" w:pos="4419"/>
        <w:tab w:val="right" w:pos="8838"/>
      </w:tabs>
    </w:pPr>
  </w:style>
  <w:style w:type="character" w:styleId="PageNumber">
    <w:name w:val="page number"/>
    <w:basedOn w:val="DefaultParagraphFont"/>
    <w:semiHidden/>
    <w:rsid w:val="003D67B9"/>
  </w:style>
  <w:style w:type="character" w:styleId="Hyperlink">
    <w:name w:val="Hyperlink"/>
    <w:basedOn w:val="DefaultParagraphFont"/>
    <w:semiHidden/>
    <w:rsid w:val="003D67B9"/>
    <w:rPr>
      <w:color w:val="0000FF"/>
      <w:u w:val="single"/>
    </w:rPr>
  </w:style>
  <w:style w:type="paragraph" w:styleId="BodyText2">
    <w:name w:val="Body Text 2"/>
    <w:basedOn w:val="Normal"/>
    <w:semiHidden/>
    <w:rsid w:val="003D67B9"/>
    <w:pPr>
      <w:autoSpaceDE w:val="0"/>
      <w:autoSpaceDN w:val="0"/>
      <w:adjustRightInd w:val="0"/>
      <w:spacing w:line="240" w:lineRule="atLeast"/>
    </w:pPr>
    <w:rPr>
      <w:rFonts w:ascii="Helv" w:hAnsi="Helv"/>
      <w:color w:val="0000FF"/>
      <w:sz w:val="20"/>
      <w:szCs w:val="20"/>
    </w:rPr>
  </w:style>
  <w:style w:type="paragraph" w:styleId="Header">
    <w:name w:val="header"/>
    <w:basedOn w:val="Normal"/>
    <w:semiHidden/>
    <w:rsid w:val="003D67B9"/>
    <w:pPr>
      <w:tabs>
        <w:tab w:val="center" w:pos="4419"/>
        <w:tab w:val="right" w:pos="8838"/>
      </w:tabs>
      <w:spacing w:before="60" w:after="60"/>
      <w:jc w:val="both"/>
    </w:pPr>
    <w:rPr>
      <w:rFonts w:ascii="Verdana" w:hAnsi="Verdana"/>
      <w:sz w:val="20"/>
      <w:szCs w:val="20"/>
    </w:rPr>
  </w:style>
  <w:style w:type="paragraph" w:styleId="BodyText3">
    <w:name w:val="Body Text 3"/>
    <w:basedOn w:val="Normal"/>
    <w:semiHidden/>
    <w:rsid w:val="003D67B9"/>
    <w:rPr>
      <w:rFonts w:ascii="Verdana" w:hAnsi="Verdana" w:cs="Arial"/>
      <w:sz w:val="20"/>
    </w:rPr>
  </w:style>
  <w:style w:type="paragraph" w:styleId="BodyTextIndent">
    <w:name w:val="Body Text Indent"/>
    <w:basedOn w:val="Normal"/>
    <w:semiHidden/>
    <w:rsid w:val="003D67B9"/>
    <w:pPr>
      <w:ind w:left="263" w:hanging="263"/>
    </w:pPr>
    <w:rPr>
      <w:rFonts w:ascii="Verdana" w:hAnsi="Verdana" w:cs="Arial"/>
      <w:sz w:val="20"/>
    </w:rPr>
  </w:style>
  <w:style w:type="character" w:styleId="FollowedHyperlink">
    <w:name w:val="FollowedHyperlink"/>
    <w:basedOn w:val="DefaultParagraphFont"/>
    <w:semiHidden/>
    <w:rsid w:val="003D67B9"/>
    <w:rPr>
      <w:color w:val="800080"/>
      <w:u w:val="single"/>
    </w:rPr>
  </w:style>
  <w:style w:type="paragraph" w:customStyle="1" w:styleId="CabealhodoSumrio1">
    <w:name w:val="Cabeçalho do Sumário1"/>
    <w:basedOn w:val="Heading1"/>
    <w:next w:val="Normal"/>
    <w:semiHidden/>
    <w:unhideWhenUsed/>
    <w:qFormat/>
    <w:rsid w:val="003D67B9"/>
    <w:pPr>
      <w:keepNext/>
      <w:keepLines/>
      <w:spacing w:before="480" w:after="0" w:line="276" w:lineRule="auto"/>
      <w:jc w:val="left"/>
      <w:outlineLvl w:val="9"/>
    </w:pPr>
    <w:rPr>
      <w:rFonts w:ascii="Cambria" w:hAnsi="Cambria"/>
      <w:bCs/>
      <w:color w:val="365F91"/>
      <w:sz w:val="28"/>
      <w:szCs w:val="28"/>
      <w:lang w:eastAsia="en-US"/>
    </w:rPr>
  </w:style>
  <w:style w:type="paragraph" w:styleId="TOC1">
    <w:name w:val="toc 1"/>
    <w:basedOn w:val="Normal"/>
    <w:next w:val="Normal"/>
    <w:autoRedefine/>
    <w:semiHidden/>
    <w:unhideWhenUsed/>
    <w:qFormat/>
    <w:rsid w:val="003D67B9"/>
  </w:style>
  <w:style w:type="paragraph" w:styleId="TOC2">
    <w:name w:val="toc 2"/>
    <w:basedOn w:val="Normal"/>
    <w:next w:val="Normal"/>
    <w:autoRedefine/>
    <w:semiHidden/>
    <w:unhideWhenUsed/>
    <w:qFormat/>
    <w:rsid w:val="003D67B9"/>
    <w:pPr>
      <w:spacing w:after="100" w:line="276" w:lineRule="auto"/>
      <w:ind w:left="220"/>
    </w:pPr>
    <w:rPr>
      <w:rFonts w:ascii="Calibri" w:hAnsi="Calibri"/>
      <w:sz w:val="22"/>
      <w:szCs w:val="22"/>
      <w:lang w:eastAsia="en-US"/>
    </w:rPr>
  </w:style>
  <w:style w:type="paragraph" w:styleId="TOC3">
    <w:name w:val="toc 3"/>
    <w:basedOn w:val="Normal"/>
    <w:next w:val="Normal"/>
    <w:autoRedefine/>
    <w:semiHidden/>
    <w:unhideWhenUsed/>
    <w:qFormat/>
    <w:rsid w:val="003D67B9"/>
    <w:pPr>
      <w:spacing w:after="100" w:line="276" w:lineRule="auto"/>
      <w:ind w:left="440"/>
    </w:pPr>
    <w:rPr>
      <w:rFonts w:ascii="Calibri" w:hAnsi="Calibri"/>
      <w:sz w:val="22"/>
      <w:szCs w:val="22"/>
      <w:lang w:eastAsia="en-US"/>
    </w:rPr>
  </w:style>
  <w:style w:type="paragraph" w:styleId="BalloonText">
    <w:name w:val="Balloon Text"/>
    <w:basedOn w:val="Normal"/>
    <w:semiHidden/>
    <w:unhideWhenUsed/>
    <w:rsid w:val="003D67B9"/>
    <w:rPr>
      <w:rFonts w:ascii="Tahoma" w:hAnsi="Tahoma" w:cs="Wingdings"/>
      <w:sz w:val="16"/>
      <w:szCs w:val="16"/>
    </w:rPr>
  </w:style>
  <w:style w:type="character" w:customStyle="1" w:styleId="TextodebaloChar">
    <w:name w:val="Texto de balão Char"/>
    <w:basedOn w:val="DefaultParagraphFont"/>
    <w:semiHidden/>
    <w:rsid w:val="003D67B9"/>
    <w:rPr>
      <w:rFonts w:ascii="Tahoma" w:hAnsi="Tahoma" w:cs="Wingdings"/>
      <w:sz w:val="16"/>
      <w:szCs w:val="16"/>
    </w:rPr>
  </w:style>
  <w:style w:type="character" w:customStyle="1" w:styleId="mandatory1">
    <w:name w:val="mandatory1"/>
    <w:basedOn w:val="DefaultParagraphFont"/>
    <w:rsid w:val="003D67B9"/>
    <w:rPr>
      <w:rFonts w:ascii="Arial" w:hAnsi="Arial" w:cs="Arial" w:hint="default"/>
      <w:b/>
      <w:bCs/>
      <w:strike w:val="0"/>
      <w:dstrike w:val="0"/>
      <w:color w:val="FF0000"/>
      <w:sz w:val="16"/>
      <w:szCs w:val="16"/>
      <w:u w:val="none"/>
      <w:effect w:val="none"/>
    </w:rPr>
  </w:style>
  <w:style w:type="character" w:styleId="CommentReference">
    <w:name w:val="annotation reference"/>
    <w:basedOn w:val="DefaultParagraphFont"/>
    <w:semiHidden/>
    <w:rsid w:val="003D67B9"/>
    <w:rPr>
      <w:sz w:val="16"/>
      <w:szCs w:val="16"/>
    </w:rPr>
  </w:style>
  <w:style w:type="paragraph" w:styleId="CommentText">
    <w:name w:val="annotation text"/>
    <w:basedOn w:val="Normal"/>
    <w:semiHidden/>
    <w:rsid w:val="003D67B9"/>
    <w:rPr>
      <w:sz w:val="20"/>
      <w:szCs w:val="20"/>
    </w:rPr>
  </w:style>
  <w:style w:type="paragraph" w:styleId="CommentSubject">
    <w:name w:val="annotation subject"/>
    <w:basedOn w:val="CommentText"/>
    <w:next w:val="CommentText"/>
    <w:semiHidden/>
    <w:rsid w:val="003D67B9"/>
    <w:rPr>
      <w:b/>
      <w:bCs/>
    </w:rPr>
  </w:style>
  <w:style w:type="paragraph" w:styleId="ListParagraph">
    <w:name w:val="List Paragraph"/>
    <w:basedOn w:val="Normal"/>
    <w:link w:val="ListParagraphChar"/>
    <w:qFormat/>
    <w:rsid w:val="005845CF"/>
    <w:pPr>
      <w:ind w:left="720"/>
      <w:contextualSpacing/>
    </w:pPr>
  </w:style>
  <w:style w:type="table" w:styleId="TableGrid">
    <w:name w:val="Table Grid"/>
    <w:basedOn w:val="TableNormal"/>
    <w:rsid w:val="00843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BD6"/>
    <w:pPr>
      <w:autoSpaceDE w:val="0"/>
      <w:autoSpaceDN w:val="0"/>
      <w:adjustRightInd w:val="0"/>
    </w:pPr>
    <w:rPr>
      <w:color w:val="000000"/>
      <w:sz w:val="24"/>
      <w:szCs w:val="24"/>
    </w:rPr>
  </w:style>
  <w:style w:type="paragraph" w:styleId="BlockText">
    <w:name w:val="Block Text"/>
    <w:basedOn w:val="Normal"/>
    <w:rsid w:val="00844BD6"/>
    <w:pPr>
      <w:tabs>
        <w:tab w:val="left" w:pos="1701"/>
        <w:tab w:val="left" w:pos="10348"/>
      </w:tabs>
      <w:ind w:left="284" w:right="334"/>
      <w:jc w:val="both"/>
    </w:pPr>
    <w:rPr>
      <w:szCs w:val="20"/>
    </w:rPr>
  </w:style>
  <w:style w:type="paragraph" w:customStyle="1" w:styleId="qowt-li-21294247621">
    <w:name w:val="qowt-li-2129424762_1"/>
    <w:basedOn w:val="Normal"/>
    <w:rsid w:val="00C91A97"/>
    <w:pPr>
      <w:spacing w:before="100" w:beforeAutospacing="1" w:after="100" w:afterAutospacing="1"/>
    </w:pPr>
    <w:rPr>
      <w:lang w:val="en-US" w:eastAsia="en-US"/>
    </w:rPr>
  </w:style>
  <w:style w:type="character" w:customStyle="1" w:styleId="qowt-font3-arial">
    <w:name w:val="qowt-font3-arial"/>
    <w:basedOn w:val="DefaultParagraphFont"/>
    <w:rsid w:val="00C91A97"/>
  </w:style>
  <w:style w:type="paragraph" w:customStyle="1" w:styleId="qowt-stl-normal">
    <w:name w:val="qowt-stl-normal"/>
    <w:basedOn w:val="Normal"/>
    <w:rsid w:val="00C91A97"/>
    <w:pPr>
      <w:spacing w:before="100" w:beforeAutospacing="1" w:after="100" w:afterAutospacing="1"/>
    </w:pPr>
    <w:rPr>
      <w:lang w:val="en-US" w:eastAsia="en-US"/>
    </w:rPr>
  </w:style>
  <w:style w:type="character" w:customStyle="1" w:styleId="qowt-font8-georgia">
    <w:name w:val="qowt-font8-georgia"/>
    <w:basedOn w:val="DefaultParagraphFont"/>
    <w:rsid w:val="00CB486A"/>
  </w:style>
  <w:style w:type="paragraph" w:styleId="NormalWeb">
    <w:name w:val="Normal (Web)"/>
    <w:basedOn w:val="Normal"/>
    <w:uiPriority w:val="99"/>
    <w:unhideWhenUsed/>
    <w:rsid w:val="00762420"/>
    <w:pPr>
      <w:spacing w:before="100" w:beforeAutospacing="1" w:after="100" w:afterAutospacing="1"/>
    </w:pPr>
    <w:rPr>
      <w:lang w:val="en-US" w:eastAsia="en-US"/>
    </w:rPr>
  </w:style>
  <w:style w:type="paragraph" w:customStyle="1" w:styleId="qowt-li-120">
    <w:name w:val="qowt-li-12_0"/>
    <w:basedOn w:val="Normal"/>
    <w:rsid w:val="00AA2B2D"/>
    <w:pPr>
      <w:spacing w:before="100" w:beforeAutospacing="1" w:after="100" w:afterAutospacing="1"/>
    </w:pPr>
    <w:rPr>
      <w:lang w:val="en-US" w:eastAsia="en-US"/>
    </w:rPr>
  </w:style>
  <w:style w:type="paragraph" w:customStyle="1" w:styleId="qowt-li-160">
    <w:name w:val="qowt-li-16_0"/>
    <w:basedOn w:val="Normal"/>
    <w:rsid w:val="00067E63"/>
    <w:pPr>
      <w:spacing w:before="100" w:beforeAutospacing="1" w:after="100" w:afterAutospacing="1"/>
    </w:pPr>
    <w:rPr>
      <w:lang w:val="en-US" w:eastAsia="en-US"/>
    </w:rPr>
  </w:style>
  <w:style w:type="paragraph" w:customStyle="1" w:styleId="DSLxStyle">
    <w:name w:val="DSLxStyle"/>
    <w:basedOn w:val="ListParagraph"/>
    <w:link w:val="DSLxStyleChar"/>
    <w:rsid w:val="00FD5EC4"/>
    <w:pPr>
      <w:ind w:left="0"/>
      <w:jc w:val="right"/>
    </w:pPr>
    <w:rPr>
      <w:rFonts w:ascii="Verdana" w:hAnsi="Verdana"/>
      <w:color w:val="666666"/>
      <w:sz w:val="12"/>
    </w:rPr>
  </w:style>
  <w:style w:type="character" w:customStyle="1" w:styleId="ListParagraphChar">
    <w:name w:val="List Paragraph Char"/>
    <w:basedOn w:val="DefaultParagraphFont"/>
    <w:link w:val="ListParagraph"/>
    <w:rsid w:val="00FD5EC4"/>
    <w:rPr>
      <w:sz w:val="24"/>
      <w:szCs w:val="24"/>
    </w:rPr>
  </w:style>
  <w:style w:type="character" w:customStyle="1" w:styleId="DSLxStyleChar">
    <w:name w:val="DSLxStyle Char"/>
    <w:basedOn w:val="ListParagraphChar"/>
    <w:link w:val="DSLxStyle"/>
    <w:rsid w:val="00FD5EC4"/>
    <w:rPr>
      <w:rFonts w:ascii="Verdana" w:hAnsi="Verdana"/>
      <w:color w:val="666666"/>
      <w:sz w:val="12"/>
      <w:szCs w:val="24"/>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character" w:customStyle="1" w:styleId="FooterChar">
    <w:name w:val="Footer Char"/>
    <w:basedOn w:val="DefaultParagraphFont"/>
    <w:link w:val="Footer"/>
    <w:uiPriority w:val="99"/>
    <w:rsid w:val="005330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772">
      <w:bodyDiv w:val="1"/>
      <w:marLeft w:val="0"/>
      <w:marRight w:val="0"/>
      <w:marTop w:val="0"/>
      <w:marBottom w:val="0"/>
      <w:divBdr>
        <w:top w:val="none" w:sz="0" w:space="0" w:color="auto"/>
        <w:left w:val="none" w:sz="0" w:space="0" w:color="auto"/>
        <w:bottom w:val="none" w:sz="0" w:space="0" w:color="auto"/>
        <w:right w:val="none" w:sz="0" w:space="0" w:color="auto"/>
      </w:divBdr>
    </w:div>
    <w:div w:id="72121232">
      <w:bodyDiv w:val="1"/>
      <w:marLeft w:val="0"/>
      <w:marRight w:val="0"/>
      <w:marTop w:val="0"/>
      <w:marBottom w:val="0"/>
      <w:divBdr>
        <w:top w:val="none" w:sz="0" w:space="0" w:color="auto"/>
        <w:left w:val="none" w:sz="0" w:space="0" w:color="auto"/>
        <w:bottom w:val="none" w:sz="0" w:space="0" w:color="auto"/>
        <w:right w:val="none" w:sz="0" w:space="0" w:color="auto"/>
      </w:divBdr>
    </w:div>
    <w:div w:id="73170543">
      <w:bodyDiv w:val="1"/>
      <w:marLeft w:val="0"/>
      <w:marRight w:val="0"/>
      <w:marTop w:val="0"/>
      <w:marBottom w:val="0"/>
      <w:divBdr>
        <w:top w:val="none" w:sz="0" w:space="0" w:color="auto"/>
        <w:left w:val="none" w:sz="0" w:space="0" w:color="auto"/>
        <w:bottom w:val="none" w:sz="0" w:space="0" w:color="auto"/>
        <w:right w:val="none" w:sz="0" w:space="0" w:color="auto"/>
      </w:divBdr>
    </w:div>
    <w:div w:id="133371332">
      <w:bodyDiv w:val="1"/>
      <w:marLeft w:val="0"/>
      <w:marRight w:val="0"/>
      <w:marTop w:val="0"/>
      <w:marBottom w:val="0"/>
      <w:divBdr>
        <w:top w:val="none" w:sz="0" w:space="0" w:color="auto"/>
        <w:left w:val="none" w:sz="0" w:space="0" w:color="auto"/>
        <w:bottom w:val="none" w:sz="0" w:space="0" w:color="auto"/>
        <w:right w:val="none" w:sz="0" w:space="0" w:color="auto"/>
      </w:divBdr>
    </w:div>
    <w:div w:id="477191007">
      <w:bodyDiv w:val="1"/>
      <w:marLeft w:val="0"/>
      <w:marRight w:val="0"/>
      <w:marTop w:val="0"/>
      <w:marBottom w:val="0"/>
      <w:divBdr>
        <w:top w:val="none" w:sz="0" w:space="0" w:color="auto"/>
        <w:left w:val="none" w:sz="0" w:space="0" w:color="auto"/>
        <w:bottom w:val="none" w:sz="0" w:space="0" w:color="auto"/>
        <w:right w:val="none" w:sz="0" w:space="0" w:color="auto"/>
      </w:divBdr>
    </w:div>
    <w:div w:id="850682176">
      <w:bodyDiv w:val="1"/>
      <w:marLeft w:val="0"/>
      <w:marRight w:val="0"/>
      <w:marTop w:val="0"/>
      <w:marBottom w:val="0"/>
      <w:divBdr>
        <w:top w:val="none" w:sz="0" w:space="0" w:color="auto"/>
        <w:left w:val="none" w:sz="0" w:space="0" w:color="auto"/>
        <w:bottom w:val="none" w:sz="0" w:space="0" w:color="auto"/>
        <w:right w:val="none" w:sz="0" w:space="0" w:color="auto"/>
      </w:divBdr>
    </w:div>
    <w:div w:id="1199856964">
      <w:bodyDiv w:val="1"/>
      <w:marLeft w:val="0"/>
      <w:marRight w:val="0"/>
      <w:marTop w:val="0"/>
      <w:marBottom w:val="0"/>
      <w:divBdr>
        <w:top w:val="none" w:sz="0" w:space="0" w:color="auto"/>
        <w:left w:val="none" w:sz="0" w:space="0" w:color="auto"/>
        <w:bottom w:val="none" w:sz="0" w:space="0" w:color="auto"/>
        <w:right w:val="none" w:sz="0" w:space="0" w:color="auto"/>
      </w:divBdr>
    </w:div>
    <w:div w:id="1498497404">
      <w:bodyDiv w:val="1"/>
      <w:marLeft w:val="0"/>
      <w:marRight w:val="0"/>
      <w:marTop w:val="0"/>
      <w:marBottom w:val="0"/>
      <w:divBdr>
        <w:top w:val="none" w:sz="0" w:space="0" w:color="auto"/>
        <w:left w:val="none" w:sz="0" w:space="0" w:color="auto"/>
        <w:bottom w:val="none" w:sz="0" w:space="0" w:color="auto"/>
        <w:right w:val="none" w:sz="0" w:space="0" w:color="auto"/>
      </w:divBdr>
    </w:div>
    <w:div w:id="1910188945">
      <w:bodyDiv w:val="1"/>
      <w:marLeft w:val="0"/>
      <w:marRight w:val="0"/>
      <w:marTop w:val="0"/>
      <w:marBottom w:val="0"/>
      <w:divBdr>
        <w:top w:val="none" w:sz="0" w:space="0" w:color="auto"/>
        <w:left w:val="none" w:sz="0" w:space="0" w:color="auto"/>
        <w:bottom w:val="none" w:sz="0" w:space="0" w:color="auto"/>
        <w:right w:val="none" w:sz="0" w:space="0" w:color="auto"/>
      </w:divBdr>
    </w:div>
    <w:div w:id="20090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660F-492F-46FD-B964-4ECCB252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1442</Words>
  <Characters>8222</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PO CRE 0002</vt:lpstr>
      <vt:lpstr>PO CRE 0002</vt:lpstr>
    </vt:vector>
  </TitlesOfParts>
  <Company>Natura Cosmeticos SA</Company>
  <LinksUpToDate>false</LinksUpToDate>
  <CharactersWithSpaces>9645</CharactersWithSpaces>
  <SharedDoc>false</SharedDoc>
  <HLinks>
    <vt:vector size="12" baseType="variant">
      <vt:variant>
        <vt:i4>3473517</vt:i4>
      </vt:variant>
      <vt:variant>
        <vt:i4>0</vt:i4>
      </vt:variant>
      <vt:variant>
        <vt:i4>0</vt:i4>
      </vt:variant>
      <vt:variant>
        <vt:i4>5</vt:i4>
      </vt:variant>
      <vt:variant>
        <vt:lpwstr>http://as3k21br:53100/RE/index.jsp</vt:lpwstr>
      </vt:variant>
      <vt:variant>
        <vt:lpwstr/>
      </vt:variant>
      <vt:variant>
        <vt:i4>720909</vt:i4>
      </vt:variant>
      <vt:variant>
        <vt:i4>8422</vt:i4>
      </vt:variant>
      <vt:variant>
        <vt:i4>1025</vt:i4>
      </vt:variant>
      <vt:variant>
        <vt:i4>1</vt:i4>
      </vt:variant>
      <vt:variant>
        <vt:lpwstr>logogray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CRE 0002</dc:title>
  <dc:subject>Política de Homologação de Marcas</dc:subject>
  <dc:creator>Grupo SBF</dc:creator>
  <cp:lastModifiedBy>Juliana Santos</cp:lastModifiedBy>
  <cp:revision>15</cp:revision>
  <dcterms:created xsi:type="dcterms:W3CDTF">2017-11-30T11:46:00Z</dcterms:created>
  <dcterms:modified xsi:type="dcterms:W3CDTF">2018-04-18T13:43:00Z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SOACAT\307864</vt:lpwstr>
  </property>
  <property fmtid="{D5CDD505-2E9C-101B-9397-08002B2CF9AE}" pid="4" name="SSDCxCLASSFICATION_DATE">
    <vt:lpwstr>21/08/2017 18:25:39</vt:lpwstr>
  </property>
  <property fmtid="{D5CDD505-2E9C-101B-9397-08002B2CF9AE}" pid="5" name="SSDCxCLASSFICATION_GUID">
    <vt:lpwstr>DDBB6C789D1E33231BF7469F72DE40C1</vt:lpwstr>
  </property>
  <property fmtid="{D5CDD505-2E9C-101B-9397-08002B2CF9AE}" pid="6" name="SSDCxCLASSFICATION_LANG">
    <vt:lpwstr>pt</vt:lpwstr>
  </property>
</Properties>
</file>