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F5" w:rsidRPr="00C32182" w:rsidRDefault="00125548" w:rsidP="00BF3E14">
      <w:pPr>
        <w:pStyle w:val="ListParagraph"/>
        <w:numPr>
          <w:ilvl w:val="0"/>
          <w:numId w:val="2"/>
        </w:numPr>
        <w:ind w:left="-284" w:firstLine="0"/>
        <w:jc w:val="both"/>
        <w:rPr>
          <w:rFonts w:ascii="Verdana" w:hAnsi="Verdana"/>
          <w:b/>
          <w:color w:val="4F81BD"/>
          <w:sz w:val="20"/>
          <w:szCs w:val="20"/>
        </w:rPr>
      </w:pPr>
      <w:r w:rsidRPr="00935B38">
        <w:rPr>
          <w:rFonts w:ascii="Verdana" w:hAnsi="Verdana"/>
          <w:b/>
          <w:sz w:val="20"/>
          <w:szCs w:val="20"/>
        </w:rPr>
        <w:t>Objetivo</w:t>
      </w:r>
    </w:p>
    <w:p w:rsidR="005845CF" w:rsidRPr="00935B38" w:rsidRDefault="00125548" w:rsidP="00BF3E14">
      <w:pPr>
        <w:ind w:left="-284"/>
        <w:jc w:val="both"/>
        <w:rPr>
          <w:rFonts w:ascii="Verdana" w:hAnsi="Verdana"/>
          <w:b/>
          <w:sz w:val="20"/>
          <w:szCs w:val="20"/>
        </w:rPr>
      </w:pPr>
      <w:r w:rsidRPr="00935B38">
        <w:rPr>
          <w:rFonts w:ascii="Verdana" w:hAnsi="Verdana"/>
          <w:sz w:val="20"/>
          <w:szCs w:val="20"/>
        </w:rPr>
        <w:t>Definir diretrizes e padronizar procedimentos que suportam o processo de Locações</w:t>
      </w:r>
      <w:r w:rsidR="00EE1033" w:rsidRPr="00935B38">
        <w:rPr>
          <w:rFonts w:ascii="Verdana" w:hAnsi="Verdana"/>
          <w:sz w:val="20"/>
          <w:szCs w:val="20"/>
        </w:rPr>
        <w:t xml:space="preserve"> de áreas</w:t>
      </w:r>
      <w:r w:rsidRPr="00935B38">
        <w:rPr>
          <w:rFonts w:ascii="Verdana" w:hAnsi="Verdana"/>
          <w:sz w:val="20"/>
          <w:szCs w:val="20"/>
        </w:rPr>
        <w:t xml:space="preserve"> da SP Turismo, visando a prospecção de clientes e melhor gerenciamento das locações realizadas nos espaços do Parque Anhembi.</w:t>
      </w:r>
    </w:p>
    <w:p w:rsidR="00C91A97" w:rsidRPr="00935B38" w:rsidRDefault="00DA7A54" w:rsidP="00BF3E14">
      <w:pPr>
        <w:jc w:val="both"/>
        <w:rPr>
          <w:rFonts w:ascii="Verdana" w:hAnsi="Verdana"/>
          <w:b/>
          <w:sz w:val="20"/>
          <w:szCs w:val="20"/>
        </w:rPr>
      </w:pPr>
    </w:p>
    <w:p w:rsidR="00FC09BE" w:rsidRPr="00C32182" w:rsidRDefault="00125548" w:rsidP="00BF3E14">
      <w:pPr>
        <w:pStyle w:val="ListParagraph"/>
        <w:numPr>
          <w:ilvl w:val="0"/>
          <w:numId w:val="2"/>
        </w:numPr>
        <w:ind w:left="0" w:hanging="284"/>
        <w:jc w:val="both"/>
        <w:rPr>
          <w:rFonts w:ascii="Verdana" w:hAnsi="Verdana"/>
          <w:b/>
          <w:color w:val="4F81BD"/>
          <w:sz w:val="20"/>
          <w:szCs w:val="20"/>
        </w:rPr>
      </w:pPr>
      <w:r w:rsidRPr="00935B38">
        <w:rPr>
          <w:rFonts w:ascii="Verdana" w:hAnsi="Verdana"/>
          <w:b/>
          <w:sz w:val="20"/>
          <w:szCs w:val="20"/>
        </w:rPr>
        <w:t>Abrangência</w:t>
      </w:r>
    </w:p>
    <w:p w:rsidR="005845CF" w:rsidRPr="00935B38" w:rsidRDefault="00125548" w:rsidP="00BF3E14">
      <w:pPr>
        <w:ind w:left="-284"/>
        <w:jc w:val="both"/>
        <w:rPr>
          <w:rFonts w:ascii="Verdana" w:hAnsi="Verdana"/>
          <w:sz w:val="20"/>
          <w:szCs w:val="20"/>
        </w:rPr>
      </w:pPr>
      <w:r w:rsidRPr="00935B38">
        <w:rPr>
          <w:rFonts w:ascii="Verdana" w:hAnsi="Verdana"/>
          <w:sz w:val="20"/>
          <w:szCs w:val="20"/>
        </w:rPr>
        <w:t>As definições, diretrizes e demais orientações introduzidas por esta norma aplicam-se às áreas de DMV (Diretoria de Marketing e Vendas), DAF (Diretoria Administrativo-Financeira e de Relação com Investidores) e PRG (Chefia de Gabinete).</w:t>
      </w:r>
    </w:p>
    <w:p w:rsidR="00C91A97" w:rsidRPr="00935B38" w:rsidRDefault="00DA7A54" w:rsidP="00BF3E14">
      <w:pPr>
        <w:jc w:val="both"/>
        <w:rPr>
          <w:rFonts w:ascii="Verdana" w:hAnsi="Verdana"/>
          <w:sz w:val="20"/>
          <w:szCs w:val="20"/>
        </w:rPr>
      </w:pPr>
    </w:p>
    <w:p w:rsidR="00F819C0" w:rsidRPr="00C85E58" w:rsidRDefault="00125548" w:rsidP="00BF3E14">
      <w:pPr>
        <w:pStyle w:val="ListParagraph"/>
        <w:numPr>
          <w:ilvl w:val="0"/>
          <w:numId w:val="2"/>
        </w:numPr>
        <w:ind w:left="-284" w:firstLine="0"/>
        <w:jc w:val="both"/>
        <w:rPr>
          <w:rFonts w:ascii="Verdana" w:hAnsi="Verdana"/>
          <w:b/>
          <w:color w:val="4F81BD"/>
          <w:sz w:val="20"/>
          <w:szCs w:val="20"/>
        </w:rPr>
      </w:pPr>
      <w:r w:rsidRPr="00935B38">
        <w:rPr>
          <w:rFonts w:ascii="Verdana" w:hAnsi="Verdana"/>
          <w:b/>
          <w:sz w:val="20"/>
          <w:szCs w:val="20"/>
        </w:rPr>
        <w:t>Definições</w:t>
      </w:r>
    </w:p>
    <w:p w:rsidR="006F0093" w:rsidRPr="00935B38" w:rsidRDefault="006F0093" w:rsidP="00BF3E14">
      <w:pPr>
        <w:pStyle w:val="ListParagraph"/>
        <w:numPr>
          <w:ilvl w:val="1"/>
          <w:numId w:val="2"/>
        </w:numPr>
        <w:ind w:left="426"/>
        <w:jc w:val="both"/>
        <w:rPr>
          <w:rFonts w:ascii="Verdana" w:hAnsi="Verdana"/>
          <w:sz w:val="20"/>
          <w:szCs w:val="20"/>
        </w:rPr>
      </w:pPr>
      <w:r>
        <w:rPr>
          <w:rFonts w:ascii="Verdana" w:hAnsi="Verdana"/>
          <w:sz w:val="20"/>
          <w:szCs w:val="20"/>
          <w:u w:val="single"/>
        </w:rPr>
        <w:t>BackOffice:</w:t>
      </w:r>
      <w:r>
        <w:rPr>
          <w:rFonts w:ascii="Verdana" w:hAnsi="Verdana"/>
          <w:sz w:val="20"/>
          <w:szCs w:val="20"/>
        </w:rPr>
        <w:t xml:space="preserve"> equipe de suporte à área de Vendas, sem contato direto com o cliente.</w:t>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DAF:</w:t>
      </w:r>
      <w:r w:rsidRPr="00935B38">
        <w:rPr>
          <w:rFonts w:ascii="Verdana" w:hAnsi="Verdana"/>
          <w:sz w:val="20"/>
          <w:szCs w:val="20"/>
        </w:rPr>
        <w:t xml:space="preserve"> Diretoria Administrativo-Financeira e de Relação com Investidores.</w:t>
      </w:r>
      <w:r w:rsidRPr="00935B38">
        <w:rPr>
          <w:rFonts w:ascii="Verdana" w:hAnsi="Verdana"/>
          <w:sz w:val="20"/>
          <w:szCs w:val="20"/>
        </w:rPr>
        <w:tab/>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DIE:</w:t>
      </w:r>
      <w:r w:rsidRPr="00935B38">
        <w:rPr>
          <w:rFonts w:ascii="Verdana" w:hAnsi="Verdana"/>
          <w:sz w:val="20"/>
          <w:szCs w:val="20"/>
        </w:rPr>
        <w:t xml:space="preserve"> Departamento de Infraestrutura.</w:t>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DMV:</w:t>
      </w:r>
      <w:r w:rsidRPr="00935B38">
        <w:rPr>
          <w:rFonts w:ascii="Verdana" w:hAnsi="Verdana"/>
          <w:sz w:val="20"/>
          <w:szCs w:val="20"/>
        </w:rPr>
        <w:t xml:space="preserve"> Departamento de Marketing e Vendas.</w:t>
      </w:r>
    </w:p>
    <w:p w:rsidR="006F0093"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DTU:</w:t>
      </w:r>
      <w:r w:rsidRPr="00935B38">
        <w:rPr>
          <w:rFonts w:ascii="Verdana" w:hAnsi="Verdana"/>
          <w:sz w:val="20"/>
          <w:szCs w:val="20"/>
        </w:rPr>
        <w:t xml:space="preserve"> Diretoria de Turismo.</w:t>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GJU:</w:t>
      </w:r>
      <w:r w:rsidRPr="00935B38">
        <w:rPr>
          <w:rFonts w:ascii="Verdana" w:hAnsi="Verdana"/>
          <w:sz w:val="20"/>
          <w:szCs w:val="20"/>
        </w:rPr>
        <w:t xml:space="preserve"> Gerência Jurídica.</w:t>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GPP:</w:t>
      </w:r>
      <w:r w:rsidRPr="00935B38">
        <w:rPr>
          <w:rFonts w:ascii="Verdana" w:hAnsi="Verdana"/>
          <w:sz w:val="20"/>
          <w:szCs w:val="20"/>
        </w:rPr>
        <w:t xml:space="preserve"> Gerência de Planejamento e Projetos.</w:t>
      </w:r>
    </w:p>
    <w:p w:rsidR="006F0093" w:rsidRPr="00935B38" w:rsidRDefault="006F0093" w:rsidP="00BF3E14">
      <w:pPr>
        <w:pStyle w:val="ListParagraph"/>
        <w:numPr>
          <w:ilvl w:val="1"/>
          <w:numId w:val="2"/>
        </w:numPr>
        <w:ind w:left="426"/>
        <w:jc w:val="both"/>
        <w:rPr>
          <w:rFonts w:ascii="Verdana" w:hAnsi="Verdana"/>
          <w:sz w:val="20"/>
          <w:szCs w:val="20"/>
        </w:rPr>
      </w:pPr>
      <w:r>
        <w:rPr>
          <w:rFonts w:ascii="Verdana" w:hAnsi="Verdana"/>
          <w:sz w:val="20"/>
          <w:szCs w:val="20"/>
          <w:u w:val="single"/>
        </w:rPr>
        <w:t>GVM:</w:t>
      </w:r>
      <w:r>
        <w:rPr>
          <w:rFonts w:ascii="Verdana" w:hAnsi="Verdana"/>
          <w:sz w:val="20"/>
          <w:szCs w:val="20"/>
        </w:rPr>
        <w:t xml:space="preserve"> Gerência de Vendas, Planejamento e Marketing.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MKT:</w:t>
      </w:r>
      <w:r w:rsidRPr="00935B38">
        <w:rPr>
          <w:rFonts w:ascii="Verdana" w:hAnsi="Verdana"/>
          <w:sz w:val="20"/>
          <w:szCs w:val="20"/>
        </w:rPr>
        <w:t xml:space="preserve"> Marketing.</w:t>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p>
    <w:p w:rsidR="006F0093" w:rsidRPr="00935B38" w:rsidRDefault="006F0093" w:rsidP="00BF3E14">
      <w:pPr>
        <w:pStyle w:val="ListParagraph"/>
        <w:numPr>
          <w:ilvl w:val="1"/>
          <w:numId w:val="2"/>
        </w:numPr>
        <w:ind w:left="426"/>
        <w:jc w:val="both"/>
        <w:rPr>
          <w:rFonts w:ascii="Verdana" w:hAnsi="Verdana"/>
          <w:sz w:val="20"/>
          <w:szCs w:val="20"/>
          <w:u w:val="single"/>
        </w:rPr>
      </w:pPr>
      <w:r w:rsidRPr="00935B38">
        <w:rPr>
          <w:rFonts w:ascii="Verdana" w:hAnsi="Verdana"/>
          <w:sz w:val="20"/>
          <w:szCs w:val="20"/>
          <w:u w:val="single"/>
        </w:rPr>
        <w:t>PA:</w:t>
      </w:r>
      <w:r w:rsidRPr="00935B38">
        <w:rPr>
          <w:rFonts w:ascii="Verdana" w:hAnsi="Verdana"/>
          <w:sz w:val="20"/>
          <w:szCs w:val="20"/>
        </w:rPr>
        <w:t xml:space="preserve"> Processo administrativo.</w:t>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PEI:</w:t>
      </w:r>
      <w:r w:rsidRPr="00935B38">
        <w:rPr>
          <w:rFonts w:ascii="Verdana" w:hAnsi="Verdana"/>
          <w:sz w:val="20"/>
          <w:szCs w:val="20"/>
        </w:rPr>
        <w:t xml:space="preserve"> Processo de evento interno.</w:t>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p>
    <w:p w:rsidR="006F0093" w:rsidRPr="00935B38"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PRD:</w:t>
      </w:r>
      <w:r w:rsidRPr="00935B38">
        <w:rPr>
          <w:rFonts w:ascii="Verdana" w:hAnsi="Verdana"/>
          <w:sz w:val="20"/>
          <w:szCs w:val="20"/>
        </w:rPr>
        <w:t xml:space="preserve"> Proposta de Resolução de Diretoria.</w:t>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r w:rsidRPr="00935B38">
        <w:rPr>
          <w:rFonts w:ascii="Verdana" w:hAnsi="Verdana"/>
          <w:sz w:val="20"/>
          <w:szCs w:val="20"/>
        </w:rPr>
        <w:tab/>
      </w:r>
    </w:p>
    <w:p w:rsidR="006F0093" w:rsidRDefault="006F0093" w:rsidP="00BF3E14">
      <w:pPr>
        <w:pStyle w:val="ListParagraph"/>
        <w:numPr>
          <w:ilvl w:val="1"/>
          <w:numId w:val="2"/>
        </w:numPr>
        <w:ind w:left="426"/>
        <w:jc w:val="both"/>
        <w:rPr>
          <w:rFonts w:ascii="Verdana" w:hAnsi="Verdana"/>
          <w:sz w:val="20"/>
          <w:szCs w:val="20"/>
        </w:rPr>
      </w:pPr>
      <w:r w:rsidRPr="00935B38">
        <w:rPr>
          <w:rFonts w:ascii="Verdana" w:hAnsi="Verdana"/>
          <w:sz w:val="20"/>
          <w:szCs w:val="20"/>
          <w:u w:val="single"/>
        </w:rPr>
        <w:t>PRG:</w:t>
      </w:r>
      <w:r w:rsidRPr="00935B38">
        <w:rPr>
          <w:rFonts w:ascii="Verdana" w:hAnsi="Verdana"/>
          <w:sz w:val="20"/>
          <w:szCs w:val="20"/>
        </w:rPr>
        <w:t xml:space="preserve"> Chefia de gabinete.</w:t>
      </w:r>
    </w:p>
    <w:p w:rsidR="00A02089" w:rsidRPr="00935B38" w:rsidRDefault="00DA7A54" w:rsidP="00BF3E14">
      <w:pPr>
        <w:jc w:val="both"/>
        <w:rPr>
          <w:rFonts w:ascii="Verdana" w:hAnsi="Verdana"/>
          <w:b/>
          <w:sz w:val="20"/>
          <w:szCs w:val="20"/>
        </w:rPr>
      </w:pPr>
    </w:p>
    <w:p w:rsidR="00FC09BE" w:rsidRPr="00C32182"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Diretrizes</w:t>
      </w:r>
    </w:p>
    <w:p w:rsidR="005E68CC" w:rsidRPr="00220372" w:rsidRDefault="00125548" w:rsidP="00BF3E14">
      <w:pPr>
        <w:pStyle w:val="ListParagraph"/>
        <w:numPr>
          <w:ilvl w:val="1"/>
          <w:numId w:val="2"/>
        </w:numPr>
        <w:ind w:left="426"/>
        <w:jc w:val="both"/>
        <w:rPr>
          <w:rFonts w:ascii="Verdana" w:hAnsi="Verdana"/>
          <w:b/>
          <w:sz w:val="20"/>
          <w:szCs w:val="20"/>
        </w:rPr>
      </w:pPr>
      <w:r w:rsidRPr="00935B38">
        <w:rPr>
          <w:rFonts w:ascii="Verdana" w:hAnsi="Verdana"/>
          <w:b/>
          <w:sz w:val="20"/>
          <w:szCs w:val="20"/>
        </w:rPr>
        <w:t>Solicitação de Orçamento</w:t>
      </w:r>
    </w:p>
    <w:p w:rsidR="0035095C" w:rsidRPr="00935B38" w:rsidRDefault="00EE1033"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DMV</w:t>
      </w:r>
      <w:r w:rsidR="00C85E58">
        <w:rPr>
          <w:rFonts w:ascii="Verdana" w:hAnsi="Verdana"/>
          <w:sz w:val="20"/>
          <w:szCs w:val="20"/>
        </w:rPr>
        <w:t xml:space="preserve"> (Diretoria de Marketing e Vendas)</w:t>
      </w:r>
      <w:r w:rsidR="00125548" w:rsidRPr="00935B38">
        <w:rPr>
          <w:rFonts w:ascii="Verdana" w:hAnsi="Verdana"/>
          <w:sz w:val="20"/>
          <w:szCs w:val="20"/>
        </w:rPr>
        <w:t xml:space="preserve"> deve ser contatada via telefone ou e-mail por clientes que possuem interesse em realizar um evento no Anhembi. Após esse primeiro contato deve ser agendada uma visita de prospecção que deve ser acompanhada pela área comercial, com o propósito de apresentar ao cliente o local e a sua estrutura.  </w:t>
      </w:r>
    </w:p>
    <w:p w:rsidR="00ED7DC5"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A </w:t>
      </w:r>
      <w:r w:rsidR="00183B02" w:rsidRPr="00935B38">
        <w:rPr>
          <w:rFonts w:ascii="Verdana" w:hAnsi="Verdana"/>
          <w:sz w:val="20"/>
          <w:szCs w:val="20"/>
        </w:rPr>
        <w:t>DMV</w:t>
      </w:r>
      <w:r w:rsidRPr="00935B38">
        <w:rPr>
          <w:rFonts w:ascii="Verdana" w:hAnsi="Verdana"/>
          <w:sz w:val="20"/>
          <w:szCs w:val="20"/>
        </w:rPr>
        <w:t xml:space="preserve"> deve realizar a conferência da agenda do Anhembi, verificando a disponibilidade de data para realização do evento conforme a necessidade do cliente. </w:t>
      </w:r>
    </w:p>
    <w:p w:rsidR="00ED7DC5" w:rsidRPr="0023203B" w:rsidRDefault="00125548" w:rsidP="00BF3E14">
      <w:pPr>
        <w:pStyle w:val="ListParagraph"/>
        <w:numPr>
          <w:ilvl w:val="2"/>
          <w:numId w:val="2"/>
        </w:numPr>
        <w:ind w:left="-284" w:firstLine="0"/>
        <w:jc w:val="both"/>
        <w:rPr>
          <w:rFonts w:ascii="Verdana" w:hAnsi="Verdana"/>
          <w:sz w:val="20"/>
          <w:szCs w:val="20"/>
        </w:rPr>
      </w:pPr>
      <w:r w:rsidRPr="0023203B">
        <w:rPr>
          <w:rFonts w:ascii="Verdana" w:hAnsi="Verdana"/>
          <w:sz w:val="20"/>
          <w:szCs w:val="20"/>
        </w:rPr>
        <w:t xml:space="preserve">Em caso de disponibilidade da data, a </w:t>
      </w:r>
      <w:r w:rsidR="00183B02" w:rsidRPr="0023203B">
        <w:rPr>
          <w:rFonts w:ascii="Verdana" w:hAnsi="Verdana"/>
          <w:sz w:val="20"/>
          <w:szCs w:val="20"/>
        </w:rPr>
        <w:t>DMV</w:t>
      </w:r>
      <w:r w:rsidRPr="0023203B">
        <w:rPr>
          <w:rFonts w:ascii="Verdana" w:hAnsi="Verdana"/>
          <w:sz w:val="20"/>
          <w:szCs w:val="20"/>
        </w:rPr>
        <w:t xml:space="preserve"> deve emitir um orçamento (</w:t>
      </w:r>
      <w:r w:rsidR="009C377C" w:rsidRPr="0023203B">
        <w:rPr>
          <w:rFonts w:ascii="Verdana" w:hAnsi="Verdana"/>
          <w:sz w:val="20"/>
          <w:szCs w:val="20"/>
        </w:rPr>
        <w:t>tabela de preços, conforme tabela de preços vigente</w:t>
      </w:r>
      <w:r w:rsidRPr="0023203B">
        <w:rPr>
          <w:rFonts w:ascii="Verdana" w:hAnsi="Verdana"/>
          <w:sz w:val="20"/>
          <w:szCs w:val="20"/>
        </w:rPr>
        <w:t xml:space="preserve">. </w:t>
      </w:r>
    </w:p>
    <w:p w:rsidR="008D314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Caso contrário, a área deve sugerir outras opções de datas disponíveis para locação.</w:t>
      </w:r>
    </w:p>
    <w:p w:rsidR="00A65261" w:rsidRPr="00935B38" w:rsidRDefault="00DA7A54" w:rsidP="00BF3E14">
      <w:pPr>
        <w:jc w:val="both"/>
        <w:rPr>
          <w:rFonts w:ascii="Verdana" w:hAnsi="Verdana"/>
          <w:sz w:val="20"/>
          <w:szCs w:val="20"/>
        </w:rPr>
      </w:pPr>
    </w:p>
    <w:p w:rsidR="00687DBF" w:rsidRPr="00220372" w:rsidRDefault="00220372" w:rsidP="00BF3E14">
      <w:pPr>
        <w:pStyle w:val="ListParagraph"/>
        <w:numPr>
          <w:ilvl w:val="1"/>
          <w:numId w:val="2"/>
        </w:numPr>
        <w:ind w:left="426"/>
        <w:jc w:val="both"/>
        <w:rPr>
          <w:rFonts w:ascii="Verdana" w:hAnsi="Verdana"/>
          <w:b/>
          <w:sz w:val="20"/>
          <w:szCs w:val="20"/>
        </w:rPr>
      </w:pPr>
      <w:r>
        <w:rPr>
          <w:rFonts w:ascii="Verdana" w:hAnsi="Verdana"/>
          <w:b/>
          <w:sz w:val="20"/>
          <w:szCs w:val="20"/>
        </w:rPr>
        <w:t>Desconto</w:t>
      </w:r>
    </w:p>
    <w:p w:rsidR="00A65261" w:rsidRPr="00935B38" w:rsidRDefault="00125548" w:rsidP="00BF3E14">
      <w:pPr>
        <w:pStyle w:val="ListParagraph"/>
        <w:numPr>
          <w:ilvl w:val="2"/>
          <w:numId w:val="2"/>
        </w:numPr>
        <w:tabs>
          <w:tab w:val="left" w:pos="360"/>
        </w:tabs>
        <w:ind w:left="-284" w:firstLine="0"/>
        <w:jc w:val="both"/>
        <w:rPr>
          <w:rFonts w:ascii="Verdana" w:hAnsi="Verdana"/>
          <w:sz w:val="20"/>
          <w:szCs w:val="20"/>
        </w:rPr>
      </w:pPr>
      <w:r w:rsidRPr="00935B38">
        <w:rPr>
          <w:rFonts w:ascii="Verdana" w:hAnsi="Verdana"/>
          <w:sz w:val="20"/>
          <w:szCs w:val="20"/>
        </w:rPr>
        <w:t>Caso o cliente solicite um desconto sob o orçamento emitido, a solicitação deve ser dire</w:t>
      </w:r>
      <w:r w:rsidR="009C377C">
        <w:rPr>
          <w:rFonts w:ascii="Verdana" w:hAnsi="Verdana"/>
          <w:sz w:val="20"/>
          <w:szCs w:val="20"/>
        </w:rPr>
        <w:t xml:space="preserve">cionada para o Diretor de Marketing e Vendas </w:t>
      </w:r>
      <w:r w:rsidRPr="00935B38">
        <w:rPr>
          <w:rFonts w:ascii="Verdana" w:hAnsi="Verdana"/>
          <w:sz w:val="20"/>
          <w:szCs w:val="20"/>
        </w:rPr>
        <w:t>que deve ter alçada de aprovação de até 25%</w:t>
      </w:r>
      <w:r w:rsidR="00C85E58">
        <w:rPr>
          <w:rFonts w:ascii="Verdana" w:hAnsi="Verdana"/>
          <w:sz w:val="20"/>
          <w:szCs w:val="20"/>
        </w:rPr>
        <w:t xml:space="preserve"> (vinte e cinco por cento)</w:t>
      </w:r>
      <w:r w:rsidRPr="00935B38">
        <w:rPr>
          <w:rFonts w:ascii="Verdana" w:hAnsi="Verdana"/>
          <w:sz w:val="20"/>
          <w:szCs w:val="20"/>
        </w:rPr>
        <w:t xml:space="preserve"> de desconto. </w:t>
      </w:r>
    </w:p>
    <w:p w:rsidR="00A6526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Para conceder um desconto ac</w:t>
      </w:r>
      <w:r w:rsidR="00183B02" w:rsidRPr="00935B38">
        <w:rPr>
          <w:rFonts w:ascii="Verdana" w:hAnsi="Verdana"/>
          <w:sz w:val="20"/>
          <w:szCs w:val="20"/>
        </w:rPr>
        <w:t>ima dessa alçada</w:t>
      </w:r>
      <w:r w:rsidR="009C377C">
        <w:rPr>
          <w:rFonts w:ascii="Verdana" w:hAnsi="Verdana"/>
          <w:sz w:val="20"/>
          <w:szCs w:val="20"/>
        </w:rPr>
        <w:t xml:space="preserve"> e/ou outras negociações como permutas comodatos e parcerias</w:t>
      </w:r>
      <w:r w:rsidR="00183B02" w:rsidRPr="00935B38">
        <w:rPr>
          <w:rFonts w:ascii="Verdana" w:hAnsi="Verdana"/>
          <w:sz w:val="20"/>
          <w:szCs w:val="20"/>
        </w:rPr>
        <w:t xml:space="preserve"> a DAF</w:t>
      </w:r>
      <w:r w:rsidR="00C85E58">
        <w:rPr>
          <w:rFonts w:ascii="Verdana" w:hAnsi="Verdana"/>
          <w:sz w:val="20"/>
          <w:szCs w:val="20"/>
        </w:rPr>
        <w:t xml:space="preserve"> (Diretoria Administrativo-Financeiro e de Relação com Investidores)</w:t>
      </w:r>
      <w:r w:rsidR="00183B02" w:rsidRPr="00935B38">
        <w:rPr>
          <w:rFonts w:ascii="Verdana" w:hAnsi="Verdana"/>
          <w:sz w:val="20"/>
          <w:szCs w:val="20"/>
        </w:rPr>
        <w:t xml:space="preserve"> e a PRG</w:t>
      </w:r>
      <w:r w:rsidR="00C85E58">
        <w:rPr>
          <w:rFonts w:ascii="Verdana" w:hAnsi="Verdana"/>
          <w:sz w:val="20"/>
          <w:szCs w:val="20"/>
        </w:rPr>
        <w:t xml:space="preserve"> (Chefia de Gabinete)</w:t>
      </w:r>
      <w:r w:rsidR="009C377C">
        <w:rPr>
          <w:rFonts w:ascii="Verdana" w:hAnsi="Verdana"/>
          <w:sz w:val="20"/>
          <w:szCs w:val="20"/>
        </w:rPr>
        <w:t xml:space="preserve"> devem aprovar a referida negociação</w:t>
      </w:r>
      <w:r w:rsidRPr="00935B38">
        <w:rPr>
          <w:rFonts w:ascii="Verdana" w:hAnsi="Verdana"/>
          <w:sz w:val="20"/>
          <w:szCs w:val="20"/>
        </w:rPr>
        <w:t xml:space="preserve">. Nesse caso, a aprovação deve ocorrer com base em uma justificativa documentada formalmente pela </w:t>
      </w:r>
      <w:r w:rsidR="00183B02" w:rsidRPr="00935B38">
        <w:rPr>
          <w:rFonts w:ascii="Verdana" w:hAnsi="Verdana"/>
          <w:sz w:val="20"/>
          <w:szCs w:val="20"/>
        </w:rPr>
        <w:t>DMV</w:t>
      </w:r>
      <w:r w:rsidR="009C377C">
        <w:rPr>
          <w:rFonts w:ascii="Verdana" w:hAnsi="Verdana"/>
          <w:sz w:val="20"/>
          <w:szCs w:val="20"/>
        </w:rPr>
        <w:t xml:space="preserve"> lastreada a PRD</w:t>
      </w:r>
      <w:r w:rsidR="00C85E58">
        <w:rPr>
          <w:rFonts w:ascii="Verdana" w:hAnsi="Verdana"/>
          <w:sz w:val="20"/>
          <w:szCs w:val="20"/>
        </w:rPr>
        <w:t xml:space="preserve"> (Proposta de Resolução de Diretoria)</w:t>
      </w:r>
      <w:r w:rsidR="009C377C">
        <w:rPr>
          <w:rFonts w:ascii="Verdana" w:hAnsi="Verdana"/>
          <w:sz w:val="20"/>
          <w:szCs w:val="20"/>
        </w:rPr>
        <w:t xml:space="preserve"> de Política Comercial</w:t>
      </w:r>
      <w:r w:rsidRPr="00935B38">
        <w:rPr>
          <w:rFonts w:ascii="Verdana" w:hAnsi="Verdana"/>
          <w:sz w:val="20"/>
          <w:szCs w:val="20"/>
        </w:rPr>
        <w:t xml:space="preserve">. </w:t>
      </w:r>
    </w:p>
    <w:p w:rsidR="00A65261" w:rsidRPr="00935B38" w:rsidRDefault="00125548" w:rsidP="00BF3E14">
      <w:pPr>
        <w:pStyle w:val="ListParagraph"/>
        <w:numPr>
          <w:ilvl w:val="2"/>
          <w:numId w:val="2"/>
        </w:numPr>
        <w:ind w:left="-284" w:firstLine="0"/>
        <w:jc w:val="both"/>
        <w:rPr>
          <w:rFonts w:ascii="Verdana" w:hAnsi="Verdana"/>
          <w:b/>
          <w:sz w:val="20"/>
          <w:szCs w:val="20"/>
        </w:rPr>
      </w:pPr>
      <w:r w:rsidRPr="00935B38">
        <w:rPr>
          <w:rFonts w:ascii="Verdana" w:hAnsi="Verdana"/>
          <w:sz w:val="20"/>
          <w:szCs w:val="20"/>
        </w:rPr>
        <w:t xml:space="preserve">Outra modalidade de desconto se dá onde o valor do contrato deve ser composto por uma porcentagem fixa e uma porcentagem variável. A SP Turismo deve oferecer uma </w:t>
      </w:r>
      <w:r w:rsidRPr="00935B38">
        <w:rPr>
          <w:rFonts w:ascii="Verdana" w:hAnsi="Verdana"/>
          <w:sz w:val="20"/>
          <w:szCs w:val="20"/>
        </w:rPr>
        <w:lastRenderedPageBreak/>
        <w:t>margem de desconto sobre o aluguel que corresponde à porcentagem fixa, e deve cobrar um percentual sobre todas as cotas de patrocínios vendidas, correspondente à parte variável.</w:t>
      </w:r>
    </w:p>
    <w:p w:rsidR="0096363E" w:rsidRPr="00935B38" w:rsidRDefault="00125548" w:rsidP="00BF3E14">
      <w:pPr>
        <w:pStyle w:val="ListParagraph"/>
        <w:numPr>
          <w:ilvl w:val="2"/>
          <w:numId w:val="2"/>
        </w:numPr>
        <w:ind w:left="-284" w:firstLine="0"/>
        <w:jc w:val="both"/>
        <w:rPr>
          <w:rFonts w:ascii="Verdana" w:hAnsi="Verdana"/>
          <w:b/>
          <w:sz w:val="20"/>
          <w:szCs w:val="20"/>
        </w:rPr>
      </w:pPr>
      <w:r w:rsidRPr="00935B38">
        <w:rPr>
          <w:rFonts w:ascii="Verdana" w:hAnsi="Verdana"/>
          <w:sz w:val="20"/>
          <w:szCs w:val="20"/>
        </w:rPr>
        <w:t>Todos os descontos devem possuir um prazo de aprovação por cada responsável de 2</w:t>
      </w:r>
      <w:r w:rsidR="00C85E58">
        <w:rPr>
          <w:rFonts w:ascii="Verdana" w:hAnsi="Verdana"/>
          <w:sz w:val="20"/>
          <w:szCs w:val="20"/>
        </w:rPr>
        <w:t xml:space="preserve"> (dois)</w:t>
      </w:r>
      <w:r w:rsidRPr="00935B38">
        <w:rPr>
          <w:rFonts w:ascii="Verdana" w:hAnsi="Verdana"/>
          <w:sz w:val="20"/>
          <w:szCs w:val="20"/>
        </w:rPr>
        <w:t xml:space="preserve"> dias úteis.</w:t>
      </w:r>
    </w:p>
    <w:p w:rsidR="002C5E7F" w:rsidRPr="00935B38" w:rsidRDefault="00DA7A54" w:rsidP="00BF3E14">
      <w:pPr>
        <w:jc w:val="both"/>
        <w:rPr>
          <w:rFonts w:ascii="Verdana" w:hAnsi="Verdana"/>
          <w:b/>
          <w:sz w:val="20"/>
          <w:szCs w:val="20"/>
        </w:rPr>
      </w:pPr>
    </w:p>
    <w:p w:rsidR="002C5E7F" w:rsidRPr="00220372" w:rsidRDefault="00125548" w:rsidP="00BF3E14">
      <w:pPr>
        <w:pStyle w:val="ListParagraph"/>
        <w:numPr>
          <w:ilvl w:val="1"/>
          <w:numId w:val="2"/>
        </w:numPr>
        <w:ind w:left="426"/>
        <w:jc w:val="both"/>
        <w:rPr>
          <w:rFonts w:ascii="Verdana" w:hAnsi="Verdana"/>
          <w:b/>
          <w:sz w:val="20"/>
          <w:szCs w:val="20"/>
        </w:rPr>
      </w:pPr>
      <w:r w:rsidRPr="00935B38">
        <w:rPr>
          <w:rFonts w:ascii="Verdana" w:hAnsi="Verdana"/>
          <w:b/>
          <w:sz w:val="20"/>
          <w:szCs w:val="20"/>
        </w:rPr>
        <w:t>Reservas</w:t>
      </w:r>
    </w:p>
    <w:p w:rsidR="002C5E7F"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Para realizar a reserva de um espaço do Anhembi o cliente deve efetuar o pagamento de u</w:t>
      </w:r>
      <w:r w:rsidR="009C377C">
        <w:rPr>
          <w:rFonts w:ascii="Verdana" w:hAnsi="Verdana"/>
          <w:sz w:val="20"/>
          <w:szCs w:val="20"/>
        </w:rPr>
        <w:t>m sinal</w:t>
      </w:r>
      <w:r w:rsidRPr="00935B38">
        <w:rPr>
          <w:rFonts w:ascii="Verdana" w:hAnsi="Verdana"/>
          <w:sz w:val="20"/>
          <w:szCs w:val="20"/>
        </w:rPr>
        <w:t xml:space="preserve"> do valor orçado e deve ser pago atravé</w:t>
      </w:r>
      <w:r w:rsidR="009C377C">
        <w:rPr>
          <w:rFonts w:ascii="Verdana" w:hAnsi="Verdana"/>
          <w:sz w:val="20"/>
          <w:szCs w:val="20"/>
        </w:rPr>
        <w:t>s de depósito bancário, salva as exceções em que por necessidade comprovada do cliente o contrato é realizado e o pagamento realizado posteriormente.</w:t>
      </w:r>
    </w:p>
    <w:p w:rsidR="00A6526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O restante do valor da proposta deve ser pago através de boletos bancários que devem ser envia</w:t>
      </w:r>
      <w:r w:rsidR="00183B02" w:rsidRPr="00935B38">
        <w:rPr>
          <w:rFonts w:ascii="Verdana" w:hAnsi="Verdana"/>
          <w:sz w:val="20"/>
          <w:szCs w:val="20"/>
        </w:rPr>
        <w:t>dos pela GDC</w:t>
      </w:r>
      <w:r w:rsidRPr="00935B38">
        <w:rPr>
          <w:rFonts w:ascii="Verdana" w:hAnsi="Verdana"/>
          <w:sz w:val="20"/>
          <w:szCs w:val="20"/>
        </w:rPr>
        <w:t>.</w:t>
      </w:r>
    </w:p>
    <w:p w:rsidR="00A6526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Casos excepcionais em que o cliente solicita o pagamento do sinal através de boleto bancário, somente após o recebimento do comprovante e ver</w:t>
      </w:r>
      <w:r w:rsidR="00183B02" w:rsidRPr="00935B38">
        <w:rPr>
          <w:rFonts w:ascii="Verdana" w:hAnsi="Verdana"/>
          <w:sz w:val="20"/>
          <w:szCs w:val="20"/>
        </w:rPr>
        <w:t xml:space="preserve">ificação junto a GDC </w:t>
      </w:r>
      <w:r w:rsidRPr="00935B38">
        <w:rPr>
          <w:rFonts w:ascii="Verdana" w:hAnsi="Verdana"/>
          <w:sz w:val="20"/>
          <w:szCs w:val="20"/>
        </w:rPr>
        <w:t xml:space="preserve">da compensação do pagamento do sinal, a </w:t>
      </w:r>
      <w:r w:rsidR="00183B02" w:rsidRPr="00935B38">
        <w:rPr>
          <w:rFonts w:ascii="Verdana" w:hAnsi="Verdana"/>
          <w:sz w:val="20"/>
          <w:szCs w:val="20"/>
        </w:rPr>
        <w:t>DMV</w:t>
      </w:r>
      <w:r w:rsidRPr="00935B38">
        <w:rPr>
          <w:rFonts w:ascii="Verdana" w:hAnsi="Verdana"/>
          <w:sz w:val="20"/>
          <w:szCs w:val="20"/>
        </w:rPr>
        <w:t xml:space="preserve"> deverá atualizar a agenda de reservas dos locais.</w:t>
      </w:r>
    </w:p>
    <w:p w:rsidR="009A734F" w:rsidRPr="00935B38" w:rsidRDefault="00183B02"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GDC</w:t>
      </w:r>
      <w:r w:rsidR="00125548" w:rsidRPr="00935B38">
        <w:rPr>
          <w:rFonts w:ascii="Verdana" w:hAnsi="Verdana"/>
          <w:sz w:val="20"/>
          <w:szCs w:val="20"/>
        </w:rPr>
        <w:t xml:space="preserve"> deve consultar a planilha que deve ser disp</w:t>
      </w:r>
      <w:r w:rsidRPr="00935B38">
        <w:rPr>
          <w:rFonts w:ascii="Verdana" w:hAnsi="Verdana"/>
          <w:sz w:val="20"/>
          <w:szCs w:val="20"/>
        </w:rPr>
        <w:t>onibilizada na rede pela DMV na qual</w:t>
      </w:r>
      <w:r w:rsidR="00125548" w:rsidRPr="00935B38">
        <w:rPr>
          <w:rFonts w:ascii="Verdana" w:hAnsi="Verdana"/>
          <w:sz w:val="20"/>
          <w:szCs w:val="20"/>
        </w:rPr>
        <w:t xml:space="preserve"> deve conter as informações dos orçamentos em andamento/negociação para controlar devidamente o pagamento dos sinais. </w:t>
      </w:r>
    </w:p>
    <w:p w:rsidR="009A734F"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Ao identificar um pagamento o </w:t>
      </w:r>
      <w:r w:rsidR="00AC6337" w:rsidRPr="00935B38">
        <w:rPr>
          <w:rFonts w:ascii="Verdana" w:hAnsi="Verdana"/>
          <w:sz w:val="20"/>
          <w:szCs w:val="20"/>
        </w:rPr>
        <w:t>GDC</w:t>
      </w:r>
      <w:r w:rsidRPr="00935B38">
        <w:rPr>
          <w:rFonts w:ascii="Verdana" w:hAnsi="Verdana"/>
          <w:sz w:val="20"/>
          <w:szCs w:val="20"/>
        </w:rPr>
        <w:t xml:space="preserve"> deve informar para a DMV. </w:t>
      </w:r>
    </w:p>
    <w:p w:rsidR="003B6BFC" w:rsidRPr="00935B38" w:rsidRDefault="00125548" w:rsidP="00BF3E14">
      <w:pPr>
        <w:pStyle w:val="DSLxStyle"/>
        <w:ind w:left="-284" w:firstLine="0"/>
        <w:jc w:val="both"/>
        <w:rPr>
          <w:color w:val="auto"/>
          <w:sz w:val="20"/>
          <w:szCs w:val="20"/>
        </w:rPr>
      </w:pPr>
      <w:r w:rsidRPr="00935B38">
        <w:rPr>
          <w:color w:val="auto"/>
          <w:sz w:val="20"/>
          <w:szCs w:val="20"/>
        </w:rPr>
        <w:t xml:space="preserve"> Os vendedores da </w:t>
      </w:r>
      <w:r w:rsidR="00183B02" w:rsidRPr="00935B38">
        <w:rPr>
          <w:color w:val="auto"/>
          <w:sz w:val="20"/>
          <w:szCs w:val="20"/>
        </w:rPr>
        <w:t>DMV</w:t>
      </w:r>
      <w:r w:rsidRPr="00935B38">
        <w:rPr>
          <w:color w:val="auto"/>
          <w:sz w:val="20"/>
          <w:szCs w:val="20"/>
        </w:rPr>
        <w:t xml:space="preserve"> devem realizar uma revisão (semanal) das suas negociações e contratos todas as quintas-feiras, assegurando desta maneira que não haja conflitos de datas dos eventos.</w:t>
      </w:r>
    </w:p>
    <w:p w:rsidR="001964E1" w:rsidRPr="00935B38" w:rsidRDefault="00DA7A54" w:rsidP="00BF3E14">
      <w:pPr>
        <w:jc w:val="both"/>
        <w:rPr>
          <w:rFonts w:ascii="Verdana" w:hAnsi="Verdana"/>
          <w:sz w:val="20"/>
          <w:szCs w:val="20"/>
        </w:rPr>
      </w:pPr>
    </w:p>
    <w:p w:rsidR="001964E1" w:rsidRPr="00220372" w:rsidRDefault="00125548" w:rsidP="00BF3E14">
      <w:pPr>
        <w:pStyle w:val="ListParagraph"/>
        <w:numPr>
          <w:ilvl w:val="1"/>
          <w:numId w:val="2"/>
        </w:numPr>
        <w:ind w:left="426"/>
        <w:jc w:val="both"/>
        <w:rPr>
          <w:rFonts w:ascii="Verdana" w:hAnsi="Verdana"/>
          <w:b/>
          <w:sz w:val="20"/>
          <w:szCs w:val="20"/>
        </w:rPr>
      </w:pPr>
      <w:r w:rsidRPr="00935B38">
        <w:rPr>
          <w:rFonts w:ascii="Verdana" w:hAnsi="Verdana"/>
          <w:b/>
          <w:sz w:val="20"/>
          <w:szCs w:val="20"/>
        </w:rPr>
        <w:t>Elaboração do Contrato</w:t>
      </w:r>
    </w:p>
    <w:p w:rsidR="001822C0"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Com a confirmação do pagamento do sinal, a solicitação e cobrança de documentação contratual deve ser realizada pela </w:t>
      </w:r>
      <w:r w:rsidRPr="009C377C">
        <w:rPr>
          <w:rFonts w:ascii="Verdana" w:hAnsi="Verdana"/>
          <w:sz w:val="20"/>
          <w:szCs w:val="20"/>
        </w:rPr>
        <w:t>área BackOffice</w:t>
      </w:r>
      <w:r w:rsidR="009C377C">
        <w:rPr>
          <w:rFonts w:ascii="Verdana" w:hAnsi="Verdana"/>
          <w:sz w:val="20"/>
          <w:szCs w:val="20"/>
        </w:rPr>
        <w:t xml:space="preserve"> (equipe</w:t>
      </w:r>
      <w:r w:rsidR="006C0391">
        <w:rPr>
          <w:rFonts w:ascii="Verdana" w:hAnsi="Verdana"/>
          <w:sz w:val="20"/>
          <w:szCs w:val="20"/>
        </w:rPr>
        <w:t xml:space="preserve"> de</w:t>
      </w:r>
      <w:r w:rsidR="009C377C">
        <w:rPr>
          <w:rFonts w:ascii="Verdana" w:hAnsi="Verdana"/>
          <w:sz w:val="20"/>
          <w:szCs w:val="20"/>
        </w:rPr>
        <w:t xml:space="preserve"> suporte à </w:t>
      </w:r>
      <w:r w:rsidR="006C0391">
        <w:rPr>
          <w:rFonts w:ascii="Verdana" w:hAnsi="Verdana"/>
          <w:sz w:val="20"/>
          <w:szCs w:val="20"/>
        </w:rPr>
        <w:t xml:space="preserve">área de </w:t>
      </w:r>
      <w:r w:rsidR="009C377C">
        <w:rPr>
          <w:rFonts w:ascii="Verdana" w:hAnsi="Verdana"/>
          <w:sz w:val="20"/>
          <w:szCs w:val="20"/>
        </w:rPr>
        <w:t>vendas</w:t>
      </w:r>
      <w:r w:rsidR="00AC6337" w:rsidRPr="009C377C">
        <w:rPr>
          <w:rFonts w:ascii="Verdana" w:hAnsi="Verdana"/>
          <w:sz w:val="20"/>
          <w:szCs w:val="20"/>
        </w:rPr>
        <w:t>)</w:t>
      </w:r>
      <w:r w:rsidRPr="00935B38">
        <w:rPr>
          <w:rFonts w:ascii="Verdana" w:hAnsi="Verdana"/>
          <w:sz w:val="20"/>
          <w:szCs w:val="20"/>
        </w:rPr>
        <w:t>.</w:t>
      </w:r>
    </w:p>
    <w:p w:rsidR="001964E1"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A </w:t>
      </w:r>
      <w:r w:rsidR="00183B02" w:rsidRPr="00935B38">
        <w:rPr>
          <w:rFonts w:ascii="Verdana" w:hAnsi="Verdana"/>
          <w:sz w:val="20"/>
          <w:szCs w:val="20"/>
        </w:rPr>
        <w:t>DMV</w:t>
      </w:r>
      <w:r w:rsidRPr="00935B38">
        <w:rPr>
          <w:rFonts w:ascii="Verdana" w:hAnsi="Verdana"/>
          <w:sz w:val="20"/>
          <w:szCs w:val="20"/>
        </w:rPr>
        <w:t xml:space="preserve"> deve receber e conferir todas as documentações necessárias para realizar o contrato do cliente e deve efetuar a minuta </w:t>
      </w:r>
      <w:r w:rsidR="009C377C">
        <w:rPr>
          <w:rFonts w:ascii="Verdana" w:hAnsi="Verdana"/>
          <w:sz w:val="20"/>
          <w:szCs w:val="20"/>
        </w:rPr>
        <w:t>de contrato e abertura do PEI</w:t>
      </w:r>
      <w:r w:rsidR="00C85E58">
        <w:rPr>
          <w:rFonts w:ascii="Verdana" w:hAnsi="Verdana"/>
          <w:sz w:val="20"/>
          <w:szCs w:val="20"/>
        </w:rPr>
        <w:t xml:space="preserve"> (Processo de Evento Interno)</w:t>
      </w:r>
      <w:r w:rsidRPr="00935B38">
        <w:rPr>
          <w:rFonts w:ascii="Verdana" w:hAnsi="Verdana"/>
          <w:sz w:val="20"/>
          <w:szCs w:val="20"/>
        </w:rPr>
        <w:t xml:space="preserve">. </w:t>
      </w:r>
    </w:p>
    <w:p w:rsidR="004A153A"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A </w:t>
      </w:r>
      <w:r w:rsidRPr="006C0391">
        <w:rPr>
          <w:rFonts w:ascii="Verdana" w:hAnsi="Verdana"/>
          <w:sz w:val="20"/>
          <w:szCs w:val="20"/>
        </w:rPr>
        <w:t>área de BackOffice</w:t>
      </w:r>
      <w:r w:rsidRPr="00935B38">
        <w:rPr>
          <w:rFonts w:ascii="Verdana" w:hAnsi="Verdana"/>
          <w:sz w:val="20"/>
          <w:szCs w:val="20"/>
        </w:rPr>
        <w:t xml:space="preserve"> deve atualizar o controle de rastreabilidade dos contratos na rede informando em que área se encontra o processo e deve cadastrar o cliente e inserir as informações do contrato no sistema Protheus.</w:t>
      </w:r>
    </w:p>
    <w:p w:rsidR="00E65930"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As informações financeiras inseridas no sistema Protheus devem ser revisa</w:t>
      </w:r>
      <w:r w:rsidR="00183B02" w:rsidRPr="00935B38">
        <w:rPr>
          <w:rFonts w:ascii="Verdana" w:hAnsi="Verdana"/>
          <w:sz w:val="20"/>
          <w:szCs w:val="20"/>
        </w:rPr>
        <w:t>das pela GDC</w:t>
      </w:r>
      <w:r w:rsidRPr="00935B38">
        <w:rPr>
          <w:rFonts w:ascii="Verdana" w:hAnsi="Verdana"/>
          <w:sz w:val="20"/>
          <w:szCs w:val="20"/>
        </w:rPr>
        <w:t>.</w:t>
      </w:r>
    </w:p>
    <w:p w:rsidR="002F532B" w:rsidRPr="00935B38" w:rsidRDefault="00125548" w:rsidP="00BF3E14">
      <w:pPr>
        <w:pStyle w:val="DSLxStyle"/>
        <w:ind w:left="-284" w:hanging="1"/>
        <w:jc w:val="both"/>
        <w:rPr>
          <w:color w:val="auto"/>
          <w:sz w:val="20"/>
          <w:szCs w:val="20"/>
        </w:rPr>
      </w:pPr>
      <w:r w:rsidRPr="00935B38">
        <w:rPr>
          <w:color w:val="auto"/>
          <w:sz w:val="20"/>
          <w:szCs w:val="20"/>
        </w:rPr>
        <w:t xml:space="preserve">A minuta de contrato </w:t>
      </w:r>
      <w:r w:rsidR="00722394">
        <w:rPr>
          <w:color w:val="auto"/>
          <w:sz w:val="20"/>
          <w:szCs w:val="20"/>
        </w:rPr>
        <w:t>elaborada</w:t>
      </w:r>
      <w:r w:rsidR="009C377C">
        <w:rPr>
          <w:color w:val="auto"/>
          <w:sz w:val="20"/>
          <w:szCs w:val="20"/>
        </w:rPr>
        <w:t xml:space="preserve"> deve ser revisada</w:t>
      </w:r>
      <w:r w:rsidR="00722394">
        <w:rPr>
          <w:color w:val="auto"/>
          <w:sz w:val="20"/>
          <w:szCs w:val="20"/>
        </w:rPr>
        <w:t xml:space="preserve"> pela área de BackOffice afim de garantir o double check</w:t>
      </w:r>
      <w:r w:rsidRPr="00935B38">
        <w:rPr>
          <w:color w:val="auto"/>
          <w:sz w:val="20"/>
          <w:szCs w:val="20"/>
        </w:rPr>
        <w:t xml:space="preserve">. A Gerente da </w:t>
      </w:r>
      <w:r w:rsidR="00183B02" w:rsidRPr="00935B38">
        <w:rPr>
          <w:color w:val="auto"/>
          <w:sz w:val="20"/>
          <w:szCs w:val="20"/>
        </w:rPr>
        <w:t>DMV</w:t>
      </w:r>
      <w:r w:rsidRPr="00935B38">
        <w:rPr>
          <w:color w:val="auto"/>
          <w:sz w:val="20"/>
          <w:szCs w:val="20"/>
        </w:rPr>
        <w:t xml:space="preserve"> deve revisar e assinar o despac</w:t>
      </w:r>
      <w:r w:rsidR="00EE1033" w:rsidRPr="00935B38">
        <w:rPr>
          <w:color w:val="auto"/>
          <w:sz w:val="20"/>
          <w:szCs w:val="20"/>
        </w:rPr>
        <w:t>ho e enviar para a GJU</w:t>
      </w:r>
      <w:r w:rsidR="00C85E58">
        <w:rPr>
          <w:color w:val="auto"/>
          <w:sz w:val="20"/>
          <w:szCs w:val="20"/>
        </w:rPr>
        <w:t xml:space="preserve"> (Gerência Jurídica)</w:t>
      </w:r>
      <w:r w:rsidRPr="00935B38">
        <w:rPr>
          <w:color w:val="auto"/>
          <w:sz w:val="20"/>
          <w:szCs w:val="20"/>
        </w:rPr>
        <w:t xml:space="preserve">. </w:t>
      </w:r>
    </w:p>
    <w:p w:rsidR="00A65261" w:rsidRPr="00935B38" w:rsidRDefault="00EE1033"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A GJU</w:t>
      </w:r>
      <w:r w:rsidR="00125548" w:rsidRPr="00935B38">
        <w:rPr>
          <w:rFonts w:ascii="Verdana" w:hAnsi="Verdana"/>
          <w:sz w:val="20"/>
          <w:szCs w:val="20"/>
        </w:rPr>
        <w:t xml:space="preserve"> deve validar as informações e retornar a minuta à DMV.</w:t>
      </w:r>
    </w:p>
    <w:p w:rsidR="00A65261"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O DMV deve encaminhar o contrato para o cliente através dos Correios, atualizando o controle de rastreabilidade com o status do processo. </w:t>
      </w:r>
    </w:p>
    <w:p w:rsidR="004A153A"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O evento somente poderá ser realizado na quitação do valor total do contrato em até seis dias antes de sua realização. </w:t>
      </w:r>
    </w:p>
    <w:p w:rsidR="004A153A" w:rsidRPr="00935B38" w:rsidRDefault="00125548" w:rsidP="00BF3E14">
      <w:pPr>
        <w:pStyle w:val="DSLxStyle"/>
        <w:ind w:left="-284" w:hanging="1"/>
        <w:jc w:val="both"/>
        <w:rPr>
          <w:color w:val="auto"/>
          <w:sz w:val="20"/>
          <w:szCs w:val="20"/>
        </w:rPr>
      </w:pPr>
      <w:r w:rsidRPr="00935B38">
        <w:rPr>
          <w:color w:val="auto"/>
          <w:sz w:val="20"/>
          <w:szCs w:val="20"/>
        </w:rPr>
        <w:t>A planilha de contratos que é utilizada para rastrear a tramitação do contrato entre as áreas deve ser extraída semanalmente pela área de BackOffice todas as terças-feiras, a leitura dessa planilha deve ser efetuada todas as quartas-feiras pelo analista de BackOffice.</w:t>
      </w:r>
    </w:p>
    <w:p w:rsidR="004A153A" w:rsidRPr="00935B38" w:rsidRDefault="00125548" w:rsidP="00BF3E14">
      <w:pPr>
        <w:pStyle w:val="DSLxStyle"/>
        <w:ind w:left="-284" w:hanging="1"/>
        <w:jc w:val="both"/>
        <w:rPr>
          <w:color w:val="auto"/>
          <w:sz w:val="20"/>
          <w:szCs w:val="20"/>
        </w:rPr>
      </w:pPr>
      <w:r w:rsidRPr="00935B38">
        <w:rPr>
          <w:color w:val="auto"/>
          <w:sz w:val="20"/>
          <w:szCs w:val="20"/>
        </w:rPr>
        <w:lastRenderedPageBreak/>
        <w:t>Após a leitura, se identificado alguma irregularidade com o contrato, a área de BackOffice deve tomar as devidas providências e/ou acionar no mesmo dia a Gerência de Vendas para resolução.</w:t>
      </w:r>
    </w:p>
    <w:p w:rsidR="004A153A" w:rsidRPr="00935B38" w:rsidRDefault="00125548" w:rsidP="00BF3E14">
      <w:pPr>
        <w:pStyle w:val="DSLxStyle"/>
        <w:ind w:left="-284" w:hanging="1"/>
        <w:jc w:val="both"/>
        <w:rPr>
          <w:color w:val="auto"/>
          <w:sz w:val="20"/>
          <w:szCs w:val="20"/>
        </w:rPr>
      </w:pPr>
      <w:r w:rsidRPr="00935B38">
        <w:rPr>
          <w:color w:val="auto"/>
          <w:sz w:val="20"/>
          <w:szCs w:val="20"/>
        </w:rPr>
        <w:t>O ideal é que antes 10</w:t>
      </w:r>
      <w:r w:rsidR="00C85E58">
        <w:rPr>
          <w:color w:val="auto"/>
          <w:sz w:val="20"/>
          <w:szCs w:val="20"/>
        </w:rPr>
        <w:t xml:space="preserve"> (dez)</w:t>
      </w:r>
      <w:r w:rsidRPr="00935B38">
        <w:rPr>
          <w:color w:val="auto"/>
          <w:sz w:val="20"/>
          <w:szCs w:val="20"/>
        </w:rPr>
        <w:t xml:space="preserve"> dias antes da realização do evento o contrato esteja devidamente assinado por ambas as partes. </w:t>
      </w:r>
    </w:p>
    <w:p w:rsidR="002525EE"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A </w:t>
      </w:r>
      <w:r w:rsidR="00183B02" w:rsidRPr="00935B38">
        <w:rPr>
          <w:rFonts w:ascii="Verdana" w:hAnsi="Verdana"/>
          <w:sz w:val="20"/>
          <w:szCs w:val="20"/>
        </w:rPr>
        <w:t>DMV</w:t>
      </w:r>
      <w:r w:rsidRPr="00935B38">
        <w:rPr>
          <w:rFonts w:ascii="Verdana" w:hAnsi="Verdana"/>
          <w:sz w:val="20"/>
          <w:szCs w:val="20"/>
        </w:rPr>
        <w:t xml:space="preserve"> deve receber o contrato assinado pelo cliente e solicit</w:t>
      </w:r>
      <w:r w:rsidR="00183B02" w:rsidRPr="00935B38">
        <w:rPr>
          <w:rFonts w:ascii="Verdana" w:hAnsi="Verdana"/>
          <w:sz w:val="20"/>
          <w:szCs w:val="20"/>
        </w:rPr>
        <w:t>ar que a GDC</w:t>
      </w:r>
      <w:r w:rsidRPr="00935B38">
        <w:rPr>
          <w:rFonts w:ascii="Verdana" w:hAnsi="Verdana"/>
          <w:sz w:val="20"/>
          <w:szCs w:val="20"/>
        </w:rPr>
        <w:t xml:space="preserve"> confirme o pagamento de todas as parcelas.</w:t>
      </w:r>
    </w:p>
    <w:p w:rsidR="001822C0"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Caso </w:t>
      </w:r>
      <w:r w:rsidR="00412114" w:rsidRPr="00935B38">
        <w:rPr>
          <w:rFonts w:ascii="Verdana" w:hAnsi="Verdana"/>
          <w:sz w:val="20"/>
          <w:szCs w:val="20"/>
        </w:rPr>
        <w:t>existam pendências, a GDC</w:t>
      </w:r>
      <w:r w:rsidRPr="00935B38">
        <w:rPr>
          <w:rFonts w:ascii="Verdana" w:hAnsi="Verdana"/>
          <w:sz w:val="20"/>
          <w:szCs w:val="20"/>
        </w:rPr>
        <w:t xml:space="preserve"> deve realizar as cobranças ao cliente.</w:t>
      </w:r>
    </w:p>
    <w:p w:rsidR="001822C0" w:rsidRPr="00935B38" w:rsidRDefault="00183B02"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 xml:space="preserve">A GDC </w:t>
      </w:r>
      <w:r w:rsidR="00125548" w:rsidRPr="00935B38">
        <w:rPr>
          <w:rFonts w:ascii="Verdana" w:hAnsi="Verdana"/>
          <w:sz w:val="20"/>
          <w:szCs w:val="20"/>
        </w:rPr>
        <w:t xml:space="preserve">deve efetuar a revisão da situação financeira do cliente periodicamente, antes da realização de qualquer evento, a fim de evitar que haja realização de evento por clientes inadimplentes. </w:t>
      </w:r>
    </w:p>
    <w:p w:rsidR="00706E0C" w:rsidRPr="00935B38" w:rsidRDefault="006C0391" w:rsidP="00BF3E14">
      <w:pPr>
        <w:pStyle w:val="ListParagraph"/>
        <w:numPr>
          <w:ilvl w:val="2"/>
          <w:numId w:val="2"/>
        </w:numPr>
        <w:ind w:left="-284" w:hanging="1"/>
        <w:jc w:val="both"/>
        <w:rPr>
          <w:rFonts w:ascii="Verdana" w:hAnsi="Verdana"/>
          <w:sz w:val="20"/>
          <w:szCs w:val="20"/>
        </w:rPr>
      </w:pPr>
      <w:r>
        <w:rPr>
          <w:rFonts w:ascii="Verdana" w:hAnsi="Verdana"/>
          <w:sz w:val="20"/>
          <w:szCs w:val="20"/>
        </w:rPr>
        <w:t xml:space="preserve">O Gerente </w:t>
      </w:r>
      <w:r w:rsidR="00722394">
        <w:rPr>
          <w:rFonts w:ascii="Verdana" w:hAnsi="Verdana"/>
          <w:sz w:val="20"/>
          <w:szCs w:val="20"/>
        </w:rPr>
        <w:t>e Diretor de Vendas</w:t>
      </w:r>
      <w:r w:rsidR="00412114" w:rsidRPr="00935B38">
        <w:rPr>
          <w:rFonts w:ascii="Verdana" w:hAnsi="Verdana"/>
          <w:sz w:val="20"/>
          <w:szCs w:val="20"/>
        </w:rPr>
        <w:t xml:space="preserve"> deve</w:t>
      </w:r>
      <w:r w:rsidR="00935B38" w:rsidRPr="00935B38">
        <w:rPr>
          <w:rFonts w:ascii="Verdana" w:hAnsi="Verdana"/>
          <w:sz w:val="20"/>
          <w:szCs w:val="20"/>
        </w:rPr>
        <w:t>m</w:t>
      </w:r>
      <w:r w:rsidR="00412114" w:rsidRPr="00935B38">
        <w:rPr>
          <w:rFonts w:ascii="Verdana" w:hAnsi="Verdana"/>
          <w:sz w:val="20"/>
          <w:szCs w:val="20"/>
        </w:rPr>
        <w:t xml:space="preserve"> </w:t>
      </w:r>
      <w:r w:rsidR="00125548" w:rsidRPr="006C0391">
        <w:rPr>
          <w:rFonts w:ascii="Verdana" w:hAnsi="Verdana"/>
          <w:sz w:val="20"/>
          <w:szCs w:val="20"/>
        </w:rPr>
        <w:t>assinar</w:t>
      </w:r>
      <w:r w:rsidR="00722394" w:rsidRPr="006C0391">
        <w:rPr>
          <w:rFonts w:ascii="Verdana" w:hAnsi="Verdana"/>
          <w:sz w:val="20"/>
          <w:szCs w:val="20"/>
        </w:rPr>
        <w:t xml:space="preserve"> o contrato</w:t>
      </w:r>
      <w:r w:rsidR="00F819C0">
        <w:rPr>
          <w:rFonts w:ascii="Verdana" w:hAnsi="Verdana"/>
          <w:sz w:val="20"/>
          <w:szCs w:val="20"/>
        </w:rPr>
        <w:t xml:space="preserve"> e despachar à </w:t>
      </w:r>
      <w:r w:rsidR="00125548" w:rsidRPr="00935B38">
        <w:rPr>
          <w:rFonts w:ascii="Verdana" w:hAnsi="Verdana"/>
          <w:sz w:val="20"/>
          <w:szCs w:val="20"/>
        </w:rPr>
        <w:t>Chefia de Gabinete</w:t>
      </w:r>
      <w:r w:rsidR="00722394">
        <w:rPr>
          <w:rFonts w:ascii="Verdana" w:hAnsi="Verdana"/>
          <w:sz w:val="20"/>
          <w:szCs w:val="20"/>
        </w:rPr>
        <w:t xml:space="preserve"> para assinatura do Presidente</w:t>
      </w:r>
      <w:r w:rsidR="00125548" w:rsidRPr="00935B38">
        <w:rPr>
          <w:rFonts w:ascii="Verdana" w:hAnsi="Verdana"/>
          <w:sz w:val="20"/>
          <w:szCs w:val="20"/>
        </w:rPr>
        <w:t xml:space="preserve">.  </w:t>
      </w:r>
    </w:p>
    <w:p w:rsidR="00706E0C"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O contrato assinado deve ser dev</w:t>
      </w:r>
      <w:r w:rsidR="00412114" w:rsidRPr="00935B38">
        <w:rPr>
          <w:rFonts w:ascii="Verdana" w:hAnsi="Verdana"/>
          <w:sz w:val="20"/>
          <w:szCs w:val="20"/>
        </w:rPr>
        <w:t>olvido a DMV</w:t>
      </w:r>
      <w:r w:rsidRPr="00935B38">
        <w:rPr>
          <w:rFonts w:ascii="Verdana" w:hAnsi="Verdana"/>
          <w:sz w:val="20"/>
          <w:szCs w:val="20"/>
        </w:rPr>
        <w:t xml:space="preserve">: uma via deve ser enviada ao cliente e outra deve ser digitalizada e arquivada na pasta do cliente. </w:t>
      </w:r>
    </w:p>
    <w:p w:rsidR="00A65261" w:rsidRPr="00935B38" w:rsidRDefault="00125548" w:rsidP="00BF3E14">
      <w:pPr>
        <w:pStyle w:val="ListParagraph"/>
        <w:numPr>
          <w:ilvl w:val="2"/>
          <w:numId w:val="2"/>
        </w:numPr>
        <w:ind w:left="-284" w:hanging="1"/>
        <w:jc w:val="both"/>
        <w:rPr>
          <w:rFonts w:ascii="Verdana" w:hAnsi="Verdana"/>
          <w:sz w:val="20"/>
          <w:szCs w:val="20"/>
        </w:rPr>
      </w:pPr>
      <w:r w:rsidRPr="00935B38">
        <w:rPr>
          <w:rFonts w:ascii="Verdana" w:hAnsi="Verdana"/>
          <w:sz w:val="20"/>
          <w:szCs w:val="20"/>
        </w:rPr>
        <w:t>Para alterações contratuais, todo o processo deve ser realizado novamente, semelhante a uma nova negociação, na forma de aditamento.</w:t>
      </w:r>
    </w:p>
    <w:p w:rsidR="00C81167" w:rsidRPr="00935B38" w:rsidRDefault="00DA7A54" w:rsidP="00BF3E14">
      <w:pPr>
        <w:jc w:val="both"/>
        <w:rPr>
          <w:rFonts w:ascii="Verdana" w:hAnsi="Verdana"/>
          <w:sz w:val="20"/>
          <w:szCs w:val="20"/>
        </w:rPr>
      </w:pPr>
    </w:p>
    <w:p w:rsidR="00C81167" w:rsidRPr="00220372" w:rsidRDefault="00125548" w:rsidP="00BF3E14">
      <w:pPr>
        <w:pStyle w:val="ListParagraph"/>
        <w:numPr>
          <w:ilvl w:val="1"/>
          <w:numId w:val="2"/>
        </w:numPr>
        <w:ind w:left="426"/>
        <w:jc w:val="both"/>
        <w:rPr>
          <w:rFonts w:ascii="Verdana" w:hAnsi="Verdana"/>
          <w:b/>
          <w:sz w:val="20"/>
          <w:szCs w:val="20"/>
        </w:rPr>
      </w:pPr>
      <w:r w:rsidRPr="00935B38">
        <w:rPr>
          <w:rFonts w:ascii="Verdana" w:hAnsi="Verdana"/>
          <w:b/>
          <w:sz w:val="20"/>
          <w:szCs w:val="20"/>
        </w:rPr>
        <w:t>Rastreabilidade da Proposta e Finalização do Contrato</w:t>
      </w:r>
    </w:p>
    <w:p w:rsidR="00C81167"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DMV deve ser r</w:t>
      </w:r>
      <w:r w:rsidR="00722394">
        <w:rPr>
          <w:rFonts w:ascii="Verdana" w:hAnsi="Verdana"/>
          <w:sz w:val="20"/>
          <w:szCs w:val="20"/>
        </w:rPr>
        <w:t>esponsável pela atualização do calendário de eventos</w:t>
      </w:r>
      <w:r w:rsidRPr="00935B38">
        <w:rPr>
          <w:rFonts w:ascii="Verdana" w:hAnsi="Verdana"/>
          <w:sz w:val="20"/>
          <w:szCs w:val="20"/>
        </w:rPr>
        <w:t xml:space="preserve"> dos espaços do Anhembi, onde os orçamentos que estão sendo negociados devem ser destacados, e devem possuir prazo de um dia para serem concretizados. </w:t>
      </w:r>
    </w:p>
    <w:p w:rsidR="00820DB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Caso o prazo seja expirado ou o cliente desista da proposta, deve ser realizada a baixa da data reservada na agenda pela </w:t>
      </w:r>
      <w:r w:rsidR="00183B02" w:rsidRPr="00935B38">
        <w:rPr>
          <w:rFonts w:ascii="Verdana" w:hAnsi="Verdana"/>
          <w:sz w:val="20"/>
          <w:szCs w:val="20"/>
        </w:rPr>
        <w:t>DMV</w:t>
      </w:r>
      <w:r w:rsidRPr="00935B38">
        <w:rPr>
          <w:rFonts w:ascii="Verdana" w:hAnsi="Verdana"/>
          <w:sz w:val="20"/>
          <w:szCs w:val="20"/>
        </w:rPr>
        <w:t xml:space="preserve">. </w:t>
      </w:r>
    </w:p>
    <w:p w:rsidR="00820DB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As locações concretizadas devem ser destacadas com marcação específica e devem ser listadas em um e-mail</w:t>
      </w:r>
      <w:r w:rsidR="00722394">
        <w:rPr>
          <w:rFonts w:ascii="Verdana" w:hAnsi="Verdana"/>
          <w:sz w:val="20"/>
          <w:szCs w:val="20"/>
        </w:rPr>
        <w:t>, denominado programação,</w:t>
      </w:r>
      <w:r w:rsidRPr="00935B38">
        <w:rPr>
          <w:rFonts w:ascii="Verdana" w:hAnsi="Verdana"/>
          <w:sz w:val="20"/>
          <w:szCs w:val="20"/>
        </w:rPr>
        <w:t xml:space="preserve"> que deve ser enviado semanalmente</w:t>
      </w:r>
      <w:r w:rsidR="00722394">
        <w:rPr>
          <w:rFonts w:ascii="Verdana" w:hAnsi="Verdana"/>
          <w:sz w:val="20"/>
          <w:szCs w:val="20"/>
        </w:rPr>
        <w:t>, preferencialmente as sextas feiras,</w:t>
      </w:r>
      <w:r w:rsidRPr="00935B38">
        <w:rPr>
          <w:rFonts w:ascii="Verdana" w:hAnsi="Verdana"/>
          <w:sz w:val="20"/>
          <w:szCs w:val="20"/>
        </w:rPr>
        <w:t xml:space="preserve"> para </w:t>
      </w:r>
      <w:r w:rsidRPr="006C0391">
        <w:rPr>
          <w:rFonts w:ascii="Verdana" w:hAnsi="Verdana"/>
          <w:sz w:val="20"/>
          <w:szCs w:val="20"/>
        </w:rPr>
        <w:t>todas as áreas</w:t>
      </w:r>
      <w:r w:rsidR="00722394">
        <w:rPr>
          <w:rFonts w:ascii="Verdana" w:hAnsi="Verdana"/>
          <w:sz w:val="20"/>
          <w:szCs w:val="20"/>
        </w:rPr>
        <w:t xml:space="preserve"> chaves</w:t>
      </w:r>
      <w:r w:rsidRPr="00935B38">
        <w:rPr>
          <w:rFonts w:ascii="Verdana" w:hAnsi="Verdana"/>
          <w:sz w:val="20"/>
          <w:szCs w:val="20"/>
        </w:rPr>
        <w:t xml:space="preserve"> comunicando os eventos que serão realizados. </w:t>
      </w:r>
    </w:p>
    <w:p w:rsidR="00A6526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DMV também deve ser responsável por atualizar a agenda do site do Anhembi, que deve ficar disponível para visualização de todos.</w:t>
      </w:r>
    </w:p>
    <w:p w:rsidR="003C529C"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informações inseridas no site devem ser submetidas à aprovação da Gerente de Vendas.</w:t>
      </w:r>
    </w:p>
    <w:p w:rsidR="009D683E"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Ao fechar o contrato, a DMV deve enviar um e-mail de congratulação ao cliente. O cliente tem a opção de solicitar visitas técnicas para avaliação das condições de utilização do espaço contratado, </w:t>
      </w:r>
      <w:r w:rsidR="00412114" w:rsidRPr="00935B38">
        <w:rPr>
          <w:rFonts w:ascii="Verdana" w:hAnsi="Verdana"/>
          <w:sz w:val="20"/>
          <w:szCs w:val="20"/>
        </w:rPr>
        <w:t>que devem ser acompanhadas pela DTU</w:t>
      </w:r>
      <w:r w:rsidR="00C85E58">
        <w:rPr>
          <w:rFonts w:ascii="Verdana" w:hAnsi="Verdana"/>
          <w:sz w:val="20"/>
          <w:szCs w:val="20"/>
        </w:rPr>
        <w:t xml:space="preserve"> (Diretoria de Turismo)</w:t>
      </w:r>
      <w:r w:rsidRPr="00935B38">
        <w:rPr>
          <w:rFonts w:ascii="Verdana" w:hAnsi="Verdana"/>
          <w:sz w:val="20"/>
          <w:szCs w:val="20"/>
        </w:rPr>
        <w:t xml:space="preserve">. </w:t>
      </w:r>
    </w:p>
    <w:p w:rsidR="00A65261"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A </w:t>
      </w:r>
      <w:r w:rsidR="00183B02" w:rsidRPr="00935B38">
        <w:rPr>
          <w:rFonts w:ascii="Verdana" w:hAnsi="Verdana"/>
          <w:sz w:val="20"/>
          <w:szCs w:val="20"/>
        </w:rPr>
        <w:t>DMV</w:t>
      </w:r>
      <w:r w:rsidRPr="00935B38">
        <w:rPr>
          <w:rFonts w:ascii="Verdana" w:hAnsi="Verdana"/>
          <w:sz w:val="20"/>
          <w:szCs w:val="20"/>
        </w:rPr>
        <w:t xml:space="preserve"> deve ter o controle interno dos contratos de locações. </w:t>
      </w:r>
    </w:p>
    <w:p w:rsidR="000A161F" w:rsidRPr="00935B38" w:rsidRDefault="00412114"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DIE</w:t>
      </w:r>
      <w:r w:rsidR="00C85E58">
        <w:rPr>
          <w:rFonts w:ascii="Verdana" w:hAnsi="Verdana"/>
          <w:sz w:val="20"/>
          <w:szCs w:val="20"/>
        </w:rPr>
        <w:t xml:space="preserve"> (Diretoria de Infraestrutura)</w:t>
      </w:r>
      <w:r w:rsidR="00125548" w:rsidRPr="00935B38">
        <w:rPr>
          <w:rFonts w:ascii="Verdana" w:hAnsi="Verdana"/>
          <w:sz w:val="20"/>
          <w:szCs w:val="20"/>
        </w:rPr>
        <w:t xml:space="preserve"> deve realizar a cobrança ao cliente da entrega das documentações inerentes à realização do evento (AVCB – vistoria do corpo de bombeiros, SEGUR 3 - alvará, ARTs – documento de responsabilidade técnica de engenheiros e arquitetos sobre as plantas do evento). </w:t>
      </w:r>
    </w:p>
    <w:p w:rsidR="00D24CB2" w:rsidRPr="00935B38" w:rsidRDefault="00125548" w:rsidP="00BF3E14">
      <w:pPr>
        <w:pStyle w:val="ListParagraph"/>
        <w:numPr>
          <w:ilvl w:val="2"/>
          <w:numId w:val="2"/>
        </w:numPr>
        <w:ind w:left="-284" w:firstLine="0"/>
        <w:jc w:val="both"/>
        <w:rPr>
          <w:rFonts w:ascii="Verdana" w:hAnsi="Verdana"/>
          <w:b/>
          <w:sz w:val="20"/>
          <w:szCs w:val="20"/>
        </w:rPr>
      </w:pPr>
      <w:r w:rsidRPr="00935B38">
        <w:rPr>
          <w:rFonts w:ascii="Verdana" w:hAnsi="Verdana"/>
          <w:sz w:val="20"/>
          <w:szCs w:val="20"/>
        </w:rPr>
        <w:t>O evento deve ser autorizado somente após a apresentação da documentação necessária, sendo fiscalizado pelos respectivos órgãos.</w:t>
      </w:r>
      <w:r w:rsidRPr="00935B38">
        <w:rPr>
          <w:rFonts w:ascii="Verdana" w:hAnsi="Verdana"/>
          <w:b/>
          <w:sz w:val="20"/>
          <w:szCs w:val="20"/>
        </w:rPr>
        <w:t xml:space="preserve"> </w:t>
      </w:r>
    </w:p>
    <w:p w:rsidR="00A65261" w:rsidRPr="00935B38" w:rsidRDefault="00FC590A" w:rsidP="00BF3E14">
      <w:pPr>
        <w:pStyle w:val="DSLxStyle"/>
        <w:ind w:left="-284" w:firstLine="0"/>
        <w:jc w:val="both"/>
        <w:rPr>
          <w:color w:val="auto"/>
          <w:sz w:val="20"/>
          <w:szCs w:val="20"/>
        </w:rPr>
      </w:pPr>
      <w:r w:rsidRPr="00935B38">
        <w:rPr>
          <w:color w:val="auto"/>
          <w:sz w:val="20"/>
          <w:szCs w:val="20"/>
        </w:rPr>
        <w:t>Caso a documentação não seja entregue ou não esteja em conformidade, após realizadas todas as tentativas de cobrança pela</w:t>
      </w:r>
      <w:r w:rsidR="00412114" w:rsidRPr="00935B38">
        <w:rPr>
          <w:color w:val="auto"/>
          <w:sz w:val="20"/>
          <w:szCs w:val="20"/>
        </w:rPr>
        <w:t xml:space="preserve"> área de GPP</w:t>
      </w:r>
      <w:r w:rsidR="00C85E58">
        <w:rPr>
          <w:color w:val="auto"/>
          <w:sz w:val="20"/>
          <w:szCs w:val="20"/>
        </w:rPr>
        <w:t xml:space="preserve"> (Gerência de Planejamento e Projetos)</w:t>
      </w:r>
      <w:r w:rsidRPr="00935B38">
        <w:rPr>
          <w:color w:val="auto"/>
          <w:sz w:val="20"/>
          <w:szCs w:val="20"/>
        </w:rPr>
        <w:t>, a DMV deverá ser acionada para contatar o cliente e informar as medidas jurídicas cabíveis.</w:t>
      </w:r>
    </w:p>
    <w:p w:rsidR="00D24CB2"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Ao término do evento deve ser efetuada uma vistoria a fim de levantar possíveis danos gerados durante a realização do evento. </w:t>
      </w:r>
    </w:p>
    <w:p w:rsidR="00303BC6" w:rsidRPr="00935B38" w:rsidRDefault="00412114"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lastRenderedPageBreak/>
        <w:t>A DIE</w:t>
      </w:r>
      <w:r w:rsidR="00125548" w:rsidRPr="00935B38">
        <w:rPr>
          <w:rFonts w:ascii="Verdana" w:hAnsi="Verdana"/>
          <w:sz w:val="20"/>
          <w:szCs w:val="20"/>
        </w:rPr>
        <w:t xml:space="preserve"> deve efetuar a medição dos gastos gerados pelo evento, como água, luz e gás. </w:t>
      </w:r>
    </w:p>
    <w:p w:rsidR="00303BC6"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Com base nesses gastos deverão ser elaborados o termo de vistoria final e termo de recebimento do local, que deverão ser enviados para a </w:t>
      </w:r>
      <w:r w:rsidR="00183B02" w:rsidRPr="00935B38">
        <w:rPr>
          <w:rFonts w:ascii="Verdana" w:hAnsi="Verdana"/>
          <w:sz w:val="20"/>
          <w:szCs w:val="20"/>
        </w:rPr>
        <w:t>DMV</w:t>
      </w:r>
      <w:r w:rsidRPr="00935B38">
        <w:rPr>
          <w:rFonts w:ascii="Verdana" w:hAnsi="Verdana"/>
          <w:sz w:val="20"/>
          <w:szCs w:val="20"/>
        </w:rPr>
        <w:t xml:space="preserve">, que deve anexar ao PEI/PA. </w:t>
      </w:r>
    </w:p>
    <w:p w:rsidR="00992EE4" w:rsidRPr="00935B38" w:rsidRDefault="00722394" w:rsidP="00BF3E14">
      <w:pPr>
        <w:pStyle w:val="DSLxStyle"/>
        <w:ind w:left="-284" w:firstLine="0"/>
        <w:jc w:val="both"/>
        <w:rPr>
          <w:sz w:val="20"/>
          <w:szCs w:val="20"/>
        </w:rPr>
      </w:pPr>
      <w:r>
        <w:rPr>
          <w:color w:val="auto"/>
          <w:sz w:val="20"/>
          <w:szCs w:val="20"/>
        </w:rPr>
        <w:t>1</w:t>
      </w:r>
      <w:r w:rsidR="00125548" w:rsidRPr="00935B38">
        <w:rPr>
          <w:color w:val="auto"/>
          <w:sz w:val="20"/>
          <w:szCs w:val="20"/>
        </w:rPr>
        <w:t>5</w:t>
      </w:r>
      <w:r w:rsidR="00C85E58">
        <w:rPr>
          <w:color w:val="auto"/>
          <w:sz w:val="20"/>
          <w:szCs w:val="20"/>
        </w:rPr>
        <w:t xml:space="preserve"> (quinze)</w:t>
      </w:r>
      <w:r w:rsidR="00125548" w:rsidRPr="00935B38">
        <w:rPr>
          <w:color w:val="auto"/>
          <w:sz w:val="20"/>
          <w:szCs w:val="20"/>
        </w:rPr>
        <w:t xml:space="preserve"> dias antes da realização de todo evento, o PA/PEI deve ser enviad</w:t>
      </w:r>
      <w:r w:rsidR="00412114" w:rsidRPr="00935B38">
        <w:rPr>
          <w:color w:val="auto"/>
          <w:sz w:val="20"/>
          <w:szCs w:val="20"/>
        </w:rPr>
        <w:t>o para as áreas competentes (DTU</w:t>
      </w:r>
      <w:r>
        <w:rPr>
          <w:color w:val="auto"/>
          <w:sz w:val="20"/>
          <w:szCs w:val="20"/>
        </w:rPr>
        <w:t xml:space="preserve"> - eventos</w:t>
      </w:r>
      <w:r w:rsidR="00125548" w:rsidRPr="00935B38">
        <w:rPr>
          <w:color w:val="auto"/>
          <w:sz w:val="20"/>
          <w:szCs w:val="20"/>
        </w:rPr>
        <w:t xml:space="preserve"> e </w:t>
      </w:r>
      <w:r>
        <w:rPr>
          <w:color w:val="auto"/>
          <w:sz w:val="20"/>
          <w:szCs w:val="20"/>
        </w:rPr>
        <w:t>DIE – operações</w:t>
      </w:r>
      <w:r w:rsidR="00125548" w:rsidRPr="00935B38">
        <w:rPr>
          <w:color w:val="auto"/>
          <w:sz w:val="20"/>
          <w:szCs w:val="20"/>
        </w:rPr>
        <w:t>) que devem ser os responsáveis por anexar ao PA/PEI toda a documentação</w:t>
      </w:r>
      <w:r>
        <w:rPr>
          <w:color w:val="auto"/>
          <w:sz w:val="20"/>
          <w:szCs w:val="20"/>
        </w:rPr>
        <w:t xml:space="preserve"> pré e</w:t>
      </w:r>
      <w:r w:rsidR="00125548" w:rsidRPr="00935B38">
        <w:rPr>
          <w:color w:val="auto"/>
          <w:sz w:val="20"/>
          <w:szCs w:val="20"/>
        </w:rPr>
        <w:t xml:space="preserve"> pós evento que lhes compete, devidamente tramitada, nos padrões determinados.</w:t>
      </w:r>
    </w:p>
    <w:p w:rsidR="00EC41C1" w:rsidRPr="00935B38" w:rsidRDefault="00722394" w:rsidP="00BF3E14">
      <w:pPr>
        <w:pStyle w:val="DSLxStyle"/>
        <w:ind w:left="-284" w:firstLine="0"/>
        <w:jc w:val="both"/>
        <w:rPr>
          <w:color w:val="auto"/>
          <w:sz w:val="20"/>
          <w:szCs w:val="20"/>
        </w:rPr>
      </w:pPr>
      <w:r w:rsidRPr="006C0391">
        <w:rPr>
          <w:color w:val="auto"/>
          <w:sz w:val="20"/>
          <w:szCs w:val="20"/>
        </w:rPr>
        <w:t xml:space="preserve">O Gerente de </w:t>
      </w:r>
      <w:r w:rsidR="000A1BE1">
        <w:rPr>
          <w:color w:val="auto"/>
          <w:sz w:val="20"/>
          <w:szCs w:val="20"/>
        </w:rPr>
        <w:t>Operações</w:t>
      </w:r>
      <w:r w:rsidR="00125548" w:rsidRPr="00935B38">
        <w:rPr>
          <w:color w:val="auto"/>
          <w:sz w:val="20"/>
          <w:szCs w:val="20"/>
        </w:rPr>
        <w:t xml:space="preserve"> deve revisar e assinar todas as documentações, validando a sua pertinência.</w:t>
      </w:r>
    </w:p>
    <w:p w:rsidR="002F2B2C"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w:t>
      </w:r>
      <w:r w:rsidR="002B424F" w:rsidRPr="00935B38">
        <w:rPr>
          <w:rFonts w:ascii="Verdana" w:hAnsi="Verdana"/>
          <w:sz w:val="20"/>
          <w:szCs w:val="20"/>
        </w:rPr>
        <w:t xml:space="preserve"> DIE</w:t>
      </w:r>
      <w:r w:rsidRPr="00935B38">
        <w:rPr>
          <w:rFonts w:ascii="Verdana" w:hAnsi="Verdana"/>
          <w:sz w:val="20"/>
          <w:szCs w:val="20"/>
        </w:rPr>
        <w:t xml:space="preserve"> deve lançar no sistema Protheus as despesas pós evento com a abertura de um novo pedido de vendas, atrelando os custos ao devido cliente.</w:t>
      </w:r>
    </w:p>
    <w:p w:rsidR="006619F7"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 xml:space="preserve">Somente após receber o PA/PEI físico revisado pelo Gerente de Operações é que a </w:t>
      </w:r>
      <w:r w:rsidR="00183B02" w:rsidRPr="00935B38">
        <w:rPr>
          <w:rFonts w:ascii="Verdana" w:hAnsi="Verdana"/>
          <w:sz w:val="20"/>
          <w:szCs w:val="20"/>
        </w:rPr>
        <w:t>DMV</w:t>
      </w:r>
      <w:r w:rsidRPr="00935B38">
        <w:rPr>
          <w:rFonts w:ascii="Verdana" w:hAnsi="Verdana"/>
          <w:sz w:val="20"/>
          <w:szCs w:val="20"/>
        </w:rPr>
        <w:t xml:space="preserve"> deve enviar o informe de cobranças adicionais ao cliente via e-mail.</w:t>
      </w:r>
    </w:p>
    <w:p w:rsidR="00EC41C1" w:rsidRPr="00935B38" w:rsidRDefault="00125548" w:rsidP="00BF3E14">
      <w:pPr>
        <w:pStyle w:val="ListParagraph"/>
        <w:numPr>
          <w:ilvl w:val="2"/>
          <w:numId w:val="2"/>
        </w:numPr>
        <w:ind w:left="-284" w:firstLine="0"/>
        <w:jc w:val="both"/>
        <w:rPr>
          <w:rFonts w:ascii="Verdana" w:hAnsi="Verdana"/>
          <w:b/>
          <w:sz w:val="20"/>
          <w:szCs w:val="20"/>
        </w:rPr>
      </w:pPr>
      <w:r w:rsidRPr="00935B38">
        <w:rPr>
          <w:rFonts w:ascii="Verdana" w:hAnsi="Verdana"/>
          <w:sz w:val="20"/>
          <w:szCs w:val="20"/>
        </w:rPr>
        <w:t xml:space="preserve">Para localização do cliente no sistema Protheus, a </w:t>
      </w:r>
      <w:r w:rsidR="00183B02" w:rsidRPr="00935B38">
        <w:rPr>
          <w:rFonts w:ascii="Verdana" w:hAnsi="Verdana"/>
          <w:sz w:val="20"/>
          <w:szCs w:val="20"/>
        </w:rPr>
        <w:t>DMV</w:t>
      </w:r>
      <w:r w:rsidR="002B424F" w:rsidRPr="00935B38">
        <w:rPr>
          <w:rFonts w:ascii="Verdana" w:hAnsi="Verdana"/>
          <w:sz w:val="20"/>
          <w:szCs w:val="20"/>
        </w:rPr>
        <w:t xml:space="preserve"> deve enviar a GDC</w:t>
      </w:r>
      <w:r w:rsidRPr="00935B38">
        <w:rPr>
          <w:rFonts w:ascii="Verdana" w:hAnsi="Verdana"/>
          <w:sz w:val="20"/>
          <w:szCs w:val="20"/>
        </w:rPr>
        <w:t xml:space="preserve"> a planilha de apuração contendo o número do pedido de vendas especificando os custos e despesas pós eventos.</w:t>
      </w:r>
    </w:p>
    <w:p w:rsidR="00A65261" w:rsidRPr="00935B38" w:rsidRDefault="002B424F"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A GDC</w:t>
      </w:r>
      <w:r w:rsidR="00125548" w:rsidRPr="00935B38">
        <w:rPr>
          <w:rFonts w:ascii="Verdana" w:hAnsi="Verdana"/>
          <w:sz w:val="20"/>
          <w:szCs w:val="20"/>
        </w:rPr>
        <w:t xml:space="preserve"> deve efetuar junto ao cliente a cobrança dos custos adicionais, porém somente deverá efetuar a cobrança ao cliente após verificar manualmente o PEI</w:t>
      </w:r>
      <w:r w:rsidR="00C85E58">
        <w:rPr>
          <w:rFonts w:ascii="Verdana" w:hAnsi="Verdana"/>
          <w:sz w:val="20"/>
          <w:szCs w:val="20"/>
        </w:rPr>
        <w:t xml:space="preserve"> (Processo de Evento Interno)</w:t>
      </w:r>
      <w:r w:rsidR="00C85E58" w:rsidRPr="00935B38">
        <w:rPr>
          <w:rFonts w:ascii="Verdana" w:hAnsi="Verdana"/>
          <w:sz w:val="20"/>
          <w:szCs w:val="20"/>
        </w:rPr>
        <w:t xml:space="preserve"> /</w:t>
      </w:r>
      <w:r w:rsidR="00125548" w:rsidRPr="00935B38">
        <w:rPr>
          <w:rFonts w:ascii="Verdana" w:hAnsi="Verdana"/>
          <w:sz w:val="20"/>
          <w:szCs w:val="20"/>
        </w:rPr>
        <w:t xml:space="preserve">PA </w:t>
      </w:r>
      <w:r w:rsidR="00C85E58">
        <w:rPr>
          <w:rFonts w:ascii="Verdana" w:hAnsi="Verdana"/>
          <w:sz w:val="20"/>
          <w:szCs w:val="20"/>
        </w:rPr>
        <w:t xml:space="preserve">(Processo Administrativo) </w:t>
      </w:r>
      <w:r w:rsidR="00125548" w:rsidRPr="00935B38">
        <w:rPr>
          <w:rFonts w:ascii="Verdana" w:hAnsi="Verdana"/>
          <w:sz w:val="20"/>
          <w:szCs w:val="20"/>
        </w:rPr>
        <w:t>físico devidamente assinado e após revisar os gasto</w:t>
      </w:r>
      <w:r w:rsidRPr="00935B38">
        <w:rPr>
          <w:rFonts w:ascii="Verdana" w:hAnsi="Verdana"/>
          <w:sz w:val="20"/>
          <w:szCs w:val="20"/>
        </w:rPr>
        <w:t>s pós evento lançados pela GDC</w:t>
      </w:r>
      <w:r w:rsidR="00125548" w:rsidRPr="00935B38">
        <w:rPr>
          <w:rFonts w:ascii="Verdana" w:hAnsi="Verdana"/>
          <w:sz w:val="20"/>
          <w:szCs w:val="20"/>
        </w:rPr>
        <w:t xml:space="preserve"> no sistema Protheus. </w:t>
      </w:r>
    </w:p>
    <w:p w:rsidR="0092069E" w:rsidRPr="00935B38" w:rsidRDefault="00125548" w:rsidP="00BF3E14">
      <w:pPr>
        <w:pStyle w:val="ListParagraph"/>
        <w:numPr>
          <w:ilvl w:val="2"/>
          <w:numId w:val="2"/>
        </w:numPr>
        <w:ind w:left="-284" w:firstLine="0"/>
        <w:jc w:val="both"/>
        <w:rPr>
          <w:rFonts w:ascii="Verdana" w:hAnsi="Verdana"/>
          <w:sz w:val="20"/>
          <w:szCs w:val="20"/>
        </w:rPr>
      </w:pPr>
      <w:r w:rsidRPr="00935B38">
        <w:rPr>
          <w:rFonts w:ascii="Verdana" w:hAnsi="Verdana"/>
          <w:sz w:val="20"/>
          <w:szCs w:val="20"/>
        </w:rPr>
        <w:t>Para o encerramento do processo, a DMV deve informar ao Observatório de Turismo que o contrato foi encerrado e que a pesquisa de satisfação com o cliente poderá ser efetuada.</w:t>
      </w:r>
    </w:p>
    <w:p w:rsidR="0092069E" w:rsidRPr="00935B38" w:rsidRDefault="00125548" w:rsidP="00BF3E14">
      <w:pPr>
        <w:pStyle w:val="DSLxStyle"/>
        <w:ind w:left="-284" w:firstLine="0"/>
        <w:jc w:val="both"/>
        <w:rPr>
          <w:color w:val="auto"/>
          <w:sz w:val="20"/>
          <w:szCs w:val="20"/>
        </w:rPr>
      </w:pPr>
      <w:r w:rsidRPr="00935B38">
        <w:rPr>
          <w:color w:val="auto"/>
          <w:sz w:val="20"/>
          <w:szCs w:val="20"/>
        </w:rPr>
        <w:t>O Observatório de Turismo deve efetuar a pesquisa de satisfação dos clientes através de um questionário/formulário eletrônico que deve ser enviado ao cliente.</w:t>
      </w:r>
    </w:p>
    <w:p w:rsidR="0092069E" w:rsidRPr="00935B38" w:rsidRDefault="00125548" w:rsidP="00BF3E14">
      <w:pPr>
        <w:pStyle w:val="DSLxStyle"/>
        <w:ind w:left="-284" w:firstLine="0"/>
        <w:jc w:val="both"/>
        <w:rPr>
          <w:color w:val="auto"/>
          <w:sz w:val="20"/>
          <w:szCs w:val="20"/>
        </w:rPr>
      </w:pPr>
      <w:r w:rsidRPr="00935B38">
        <w:rPr>
          <w:color w:val="auto"/>
          <w:sz w:val="20"/>
          <w:szCs w:val="20"/>
        </w:rPr>
        <w:t>Ao receber o retorno das pesquisas o Observatório</w:t>
      </w:r>
      <w:r w:rsidR="002B424F" w:rsidRPr="00935B38">
        <w:rPr>
          <w:color w:val="auto"/>
          <w:sz w:val="20"/>
          <w:szCs w:val="20"/>
        </w:rPr>
        <w:t xml:space="preserve"> de Turismo</w:t>
      </w:r>
      <w:r w:rsidRPr="00935B38">
        <w:rPr>
          <w:color w:val="auto"/>
          <w:sz w:val="20"/>
          <w:szCs w:val="20"/>
        </w:rPr>
        <w:t xml:space="preserve"> deve direcionar as reclamações para as respectivas áreas responsáveis.</w:t>
      </w:r>
    </w:p>
    <w:p w:rsidR="0092069E" w:rsidRPr="00935B38" w:rsidRDefault="007272DF" w:rsidP="00BF3E14">
      <w:pPr>
        <w:pStyle w:val="DSLxStyle"/>
        <w:ind w:left="-284" w:firstLine="0"/>
        <w:jc w:val="both"/>
        <w:rPr>
          <w:color w:val="auto"/>
          <w:sz w:val="20"/>
          <w:szCs w:val="20"/>
        </w:rPr>
      </w:pPr>
      <w:r w:rsidRPr="00935B38">
        <w:rPr>
          <w:color w:val="auto"/>
          <w:sz w:val="20"/>
          <w:szCs w:val="20"/>
        </w:rPr>
        <w:t>Em seguida, o Observatório de Turismo</w:t>
      </w:r>
      <w:r w:rsidR="002B424F" w:rsidRPr="00935B38">
        <w:rPr>
          <w:color w:val="auto"/>
          <w:sz w:val="20"/>
          <w:szCs w:val="20"/>
        </w:rPr>
        <w:t xml:space="preserve"> </w:t>
      </w:r>
      <w:r w:rsidR="00125548" w:rsidRPr="00935B38">
        <w:rPr>
          <w:color w:val="auto"/>
          <w:sz w:val="20"/>
          <w:szCs w:val="20"/>
        </w:rPr>
        <w:t>deverá tomar decisões com base na elaboração de estratégias fundamentadas nas informações recebidas e/ou consolidadas.</w:t>
      </w:r>
    </w:p>
    <w:p w:rsidR="0092069E" w:rsidRPr="00935B38" w:rsidRDefault="00125548" w:rsidP="00BF3E14">
      <w:pPr>
        <w:pStyle w:val="DSLxStyle"/>
        <w:ind w:left="-284" w:firstLine="0"/>
        <w:jc w:val="both"/>
        <w:rPr>
          <w:color w:val="auto"/>
          <w:sz w:val="20"/>
          <w:szCs w:val="20"/>
        </w:rPr>
      </w:pPr>
      <w:r w:rsidRPr="00935B38">
        <w:rPr>
          <w:color w:val="auto"/>
          <w:sz w:val="20"/>
          <w:szCs w:val="20"/>
        </w:rPr>
        <w:t xml:space="preserve">Os resultados deverão ser informados à DMV para arquivamento no respectivo processo. </w:t>
      </w:r>
    </w:p>
    <w:p w:rsidR="00220372" w:rsidRPr="006C0391" w:rsidRDefault="00220372" w:rsidP="00BF3E14">
      <w:pPr>
        <w:jc w:val="both"/>
        <w:rPr>
          <w:rFonts w:ascii="Verdana" w:hAnsi="Verdana"/>
          <w:sz w:val="20"/>
          <w:szCs w:val="20"/>
        </w:rPr>
      </w:pPr>
    </w:p>
    <w:p w:rsidR="00876B68" w:rsidRPr="00220372"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Penalidades</w:t>
      </w:r>
    </w:p>
    <w:p w:rsidR="00876B68" w:rsidRPr="00935B38" w:rsidRDefault="00125548" w:rsidP="00BF3E14">
      <w:pPr>
        <w:pStyle w:val="ListParagraph"/>
        <w:numPr>
          <w:ilvl w:val="1"/>
          <w:numId w:val="2"/>
        </w:numPr>
        <w:ind w:left="-284" w:firstLine="0"/>
        <w:jc w:val="both"/>
        <w:rPr>
          <w:rFonts w:ascii="Verdana" w:hAnsi="Verdana"/>
          <w:sz w:val="20"/>
          <w:szCs w:val="20"/>
        </w:rPr>
      </w:pPr>
      <w:r w:rsidRPr="00935B38">
        <w:rPr>
          <w:rFonts w:ascii="Verdana" w:hAnsi="Verdana"/>
          <w:sz w:val="20"/>
          <w:szCs w:val="20"/>
        </w:rPr>
        <w:t xml:space="preserve">Os colaboradores estarão sujeitos às penalidades das normas disciplinares da SP Turismo, em especial a </w:t>
      </w:r>
      <w:r w:rsidR="0023203B">
        <w:rPr>
          <w:rFonts w:ascii="Verdana" w:hAnsi="Verdana"/>
          <w:b/>
          <w:sz w:val="20"/>
          <w:szCs w:val="20"/>
        </w:rPr>
        <w:t>NG GRH 07</w:t>
      </w:r>
      <w:r w:rsidRPr="00935B38">
        <w:rPr>
          <w:rFonts w:ascii="Verdana" w:hAnsi="Verdana"/>
          <w:b/>
          <w:sz w:val="20"/>
          <w:szCs w:val="20"/>
        </w:rPr>
        <w:t xml:space="preserve"> - Conduta Funcional</w:t>
      </w:r>
      <w:r w:rsidRPr="00935B38">
        <w:rPr>
          <w:rFonts w:ascii="Verdana" w:hAnsi="Verdana"/>
          <w:sz w:val="20"/>
          <w:szCs w:val="20"/>
        </w:rPr>
        <w:t>, no caso de descumprimento desta Norma.</w:t>
      </w:r>
    </w:p>
    <w:p w:rsidR="00876B68" w:rsidRPr="00935B38" w:rsidRDefault="00DA7A54" w:rsidP="00BF3E14">
      <w:pPr>
        <w:jc w:val="both"/>
        <w:rPr>
          <w:rFonts w:ascii="Verdana" w:hAnsi="Verdana"/>
          <w:sz w:val="20"/>
          <w:szCs w:val="20"/>
        </w:rPr>
      </w:pPr>
    </w:p>
    <w:p w:rsidR="00B714F8" w:rsidRPr="00220372"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 xml:space="preserve">Legislação básica </w:t>
      </w:r>
    </w:p>
    <w:p w:rsidR="00B17993" w:rsidRPr="00935B38" w:rsidRDefault="00125548" w:rsidP="00BF3E14">
      <w:pPr>
        <w:pStyle w:val="ListParagraph"/>
        <w:numPr>
          <w:ilvl w:val="1"/>
          <w:numId w:val="2"/>
        </w:numPr>
        <w:ind w:left="-284" w:hanging="11"/>
        <w:jc w:val="both"/>
        <w:rPr>
          <w:rFonts w:ascii="Verdana" w:hAnsi="Verdana"/>
          <w:b/>
          <w:sz w:val="20"/>
          <w:szCs w:val="20"/>
        </w:rPr>
      </w:pPr>
      <w:r w:rsidRPr="00935B38">
        <w:rPr>
          <w:rFonts w:ascii="Verdana" w:hAnsi="Verdana"/>
          <w:color w:val="000000"/>
          <w:sz w:val="20"/>
          <w:szCs w:val="20"/>
          <w:shd w:val="clear" w:color="auto" w:fill="FFFFFF"/>
        </w:rPr>
        <w:t>LEI FEDERAL Nº 13.303 - Lei de Responsabilidade das Estatais</w:t>
      </w:r>
    </w:p>
    <w:p w:rsidR="00FD0A55" w:rsidRPr="00935B38" w:rsidRDefault="00125548" w:rsidP="00BF3E14">
      <w:pPr>
        <w:pStyle w:val="ListParagraph"/>
        <w:numPr>
          <w:ilvl w:val="1"/>
          <w:numId w:val="2"/>
        </w:numPr>
        <w:ind w:left="-284" w:hanging="11"/>
        <w:jc w:val="both"/>
        <w:rPr>
          <w:rFonts w:ascii="Verdana" w:hAnsi="Verdana"/>
          <w:color w:val="000000"/>
          <w:sz w:val="20"/>
          <w:szCs w:val="20"/>
          <w:shd w:val="clear" w:color="auto" w:fill="FFFFFF"/>
        </w:rPr>
      </w:pPr>
      <w:r w:rsidRPr="00935B38">
        <w:rPr>
          <w:rFonts w:ascii="Verdana" w:hAnsi="Verdana"/>
          <w:sz w:val="20"/>
          <w:szCs w:val="20"/>
        </w:rPr>
        <w:t>LEI FEDERAL Nº 8.666/93 - Institui normas para licitações e contratos para a Administração Pública</w:t>
      </w:r>
    </w:p>
    <w:p w:rsidR="00FD0A55" w:rsidRPr="00935B38" w:rsidRDefault="00125548" w:rsidP="00BF3E14">
      <w:pPr>
        <w:pStyle w:val="ListParagraph"/>
        <w:numPr>
          <w:ilvl w:val="1"/>
          <w:numId w:val="2"/>
        </w:numPr>
        <w:ind w:left="-284" w:hanging="11"/>
        <w:jc w:val="both"/>
        <w:rPr>
          <w:rFonts w:ascii="Verdana" w:hAnsi="Verdana"/>
          <w:color w:val="000000"/>
          <w:sz w:val="20"/>
          <w:szCs w:val="20"/>
          <w:shd w:val="clear" w:color="auto" w:fill="FFFFFF"/>
        </w:rPr>
      </w:pPr>
      <w:r w:rsidRPr="00935B38">
        <w:rPr>
          <w:rFonts w:ascii="Verdana" w:hAnsi="Verdana"/>
          <w:sz w:val="20"/>
          <w:szCs w:val="20"/>
        </w:rPr>
        <w:t>LEI FEDERAL Nº 12.813 - Lei de Conflito de Interesses</w:t>
      </w:r>
    </w:p>
    <w:p w:rsidR="00B17993" w:rsidRPr="00935B38" w:rsidRDefault="00DA7A54" w:rsidP="00BF3E14">
      <w:pPr>
        <w:jc w:val="both"/>
        <w:rPr>
          <w:rFonts w:ascii="Verdana" w:hAnsi="Verdana"/>
          <w:b/>
          <w:sz w:val="20"/>
          <w:szCs w:val="20"/>
          <w:highlight w:val="yellow"/>
        </w:rPr>
      </w:pPr>
    </w:p>
    <w:p w:rsidR="00260E03" w:rsidRPr="00220372"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Anexos</w:t>
      </w:r>
    </w:p>
    <w:p w:rsidR="00260E03" w:rsidRPr="00935B38" w:rsidRDefault="00F819C0" w:rsidP="00BF3E14">
      <w:pPr>
        <w:pStyle w:val="ListParagraph"/>
        <w:numPr>
          <w:ilvl w:val="1"/>
          <w:numId w:val="2"/>
        </w:numPr>
        <w:ind w:hanging="1004"/>
        <w:jc w:val="both"/>
        <w:rPr>
          <w:rFonts w:ascii="Verdana" w:hAnsi="Verdana"/>
          <w:sz w:val="20"/>
          <w:szCs w:val="20"/>
        </w:rPr>
      </w:pPr>
      <w:r>
        <w:rPr>
          <w:rFonts w:ascii="Verdana" w:hAnsi="Verdana"/>
          <w:sz w:val="20"/>
          <w:szCs w:val="20"/>
        </w:rPr>
        <w:t>Não existem anexos referentes à esta norma.</w:t>
      </w:r>
    </w:p>
    <w:p w:rsidR="003F0B56" w:rsidRPr="00935B38" w:rsidRDefault="00DA7A54" w:rsidP="00BF3E14">
      <w:pPr>
        <w:jc w:val="both"/>
        <w:rPr>
          <w:rFonts w:ascii="Verdana" w:hAnsi="Verdana"/>
          <w:sz w:val="20"/>
          <w:szCs w:val="20"/>
        </w:rPr>
      </w:pPr>
    </w:p>
    <w:p w:rsidR="00260E03" w:rsidRPr="00220372"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Revisões</w:t>
      </w:r>
    </w:p>
    <w:p w:rsidR="008A2331" w:rsidRPr="00935B38" w:rsidRDefault="00125548" w:rsidP="00BF3E14">
      <w:pPr>
        <w:pStyle w:val="ListParagraph"/>
        <w:numPr>
          <w:ilvl w:val="1"/>
          <w:numId w:val="2"/>
        </w:numPr>
        <w:ind w:left="-284" w:hanging="11"/>
        <w:jc w:val="both"/>
        <w:rPr>
          <w:rFonts w:ascii="Verdana" w:hAnsi="Verdana"/>
          <w:b/>
          <w:sz w:val="20"/>
          <w:szCs w:val="20"/>
        </w:rPr>
      </w:pPr>
      <w:r w:rsidRPr="00935B38">
        <w:rPr>
          <w:rFonts w:ascii="Verdana" w:hAnsi="Verdana"/>
          <w:sz w:val="20"/>
          <w:szCs w:val="20"/>
        </w:rPr>
        <w:lastRenderedPageBreak/>
        <w:t>Anualmente, as definições e diretrizes desta norma devem ser revisadas e aprovadas pela gerência e diretoria da</w:t>
      </w:r>
      <w:r w:rsidR="006F0093">
        <w:rPr>
          <w:rFonts w:ascii="Verdana" w:hAnsi="Verdana"/>
          <w:sz w:val="20"/>
          <w:szCs w:val="20"/>
        </w:rPr>
        <w:t xml:space="preserve"> GVM (Gerência de Vendas, Planejamento e Marketing) e</w:t>
      </w:r>
      <w:r w:rsidRPr="00935B38">
        <w:rPr>
          <w:rFonts w:ascii="Verdana" w:hAnsi="Verdana"/>
          <w:sz w:val="20"/>
          <w:szCs w:val="20"/>
        </w:rPr>
        <w:t xml:space="preserve"> DMV (Diretoria de Marketing e Vendas).</w:t>
      </w:r>
    </w:p>
    <w:p w:rsidR="00260E03" w:rsidRPr="00935B38" w:rsidRDefault="00DA7A54" w:rsidP="00BF3E14">
      <w:pPr>
        <w:jc w:val="both"/>
        <w:rPr>
          <w:rFonts w:ascii="Verdana" w:hAnsi="Verdana"/>
          <w:b/>
          <w:sz w:val="20"/>
          <w:szCs w:val="20"/>
        </w:rPr>
      </w:pPr>
    </w:p>
    <w:p w:rsidR="00751D5B" w:rsidRPr="00935B38" w:rsidRDefault="00125548" w:rsidP="00BF3E14">
      <w:pPr>
        <w:pStyle w:val="ListParagraph"/>
        <w:numPr>
          <w:ilvl w:val="0"/>
          <w:numId w:val="2"/>
        </w:numPr>
        <w:ind w:left="-284" w:firstLine="0"/>
        <w:jc w:val="both"/>
        <w:rPr>
          <w:rFonts w:ascii="Verdana" w:hAnsi="Verdana"/>
          <w:b/>
          <w:sz w:val="20"/>
          <w:szCs w:val="20"/>
        </w:rPr>
      </w:pPr>
      <w:r w:rsidRPr="00935B38">
        <w:rPr>
          <w:rFonts w:ascii="Verdana" w:hAnsi="Verdana"/>
          <w:b/>
          <w:sz w:val="20"/>
          <w:szCs w:val="20"/>
        </w:rPr>
        <w:t>Histórico de alterações</w:t>
      </w:r>
    </w:p>
    <w:p w:rsidR="009B2F21" w:rsidRPr="00935B38" w:rsidRDefault="00DA7A54" w:rsidP="00BF3E14">
      <w:pPr>
        <w:jc w:val="both"/>
        <w:rPr>
          <w:rFonts w:ascii="Verdana" w:hAnsi="Verdana"/>
          <w:sz w:val="20"/>
          <w:szCs w:val="20"/>
        </w:rPr>
      </w:pPr>
    </w:p>
    <w:tbl>
      <w:tblPr>
        <w:tblStyle w:val="TableGrid"/>
        <w:tblW w:w="0" w:type="auto"/>
        <w:tblInd w:w="-289" w:type="dxa"/>
        <w:tblLook w:val="01E0" w:firstRow="1" w:lastRow="1" w:firstColumn="1" w:lastColumn="1" w:noHBand="0" w:noVBand="0"/>
      </w:tblPr>
      <w:tblGrid>
        <w:gridCol w:w="1326"/>
        <w:gridCol w:w="1211"/>
        <w:gridCol w:w="1409"/>
        <w:gridCol w:w="2292"/>
        <w:gridCol w:w="2879"/>
      </w:tblGrid>
      <w:tr w:rsidR="009B2F21" w:rsidRPr="00935B38" w:rsidTr="00C32182">
        <w:trPr>
          <w:trHeight w:val="230"/>
        </w:trPr>
        <w:tc>
          <w:tcPr>
            <w:tcW w:w="1326" w:type="dxa"/>
            <w:vMerge w:val="restart"/>
            <w:shd w:val="clear" w:color="auto" w:fill="C0C0C0"/>
            <w:vAlign w:val="center"/>
          </w:tcPr>
          <w:p w:rsidR="009B2F21" w:rsidRPr="00935B38" w:rsidRDefault="00125548" w:rsidP="00BF3E14">
            <w:pPr>
              <w:ind w:left="-57" w:right="-57"/>
              <w:jc w:val="both"/>
              <w:rPr>
                <w:rFonts w:ascii="Verdana" w:hAnsi="Verdana"/>
                <w:b/>
                <w:sz w:val="20"/>
                <w:szCs w:val="20"/>
              </w:rPr>
            </w:pPr>
            <w:r w:rsidRPr="00935B38">
              <w:rPr>
                <w:rFonts w:ascii="Verdana" w:hAnsi="Verdana"/>
                <w:b/>
                <w:sz w:val="20"/>
                <w:szCs w:val="20"/>
              </w:rPr>
              <w:t>Revisão</w:t>
            </w:r>
          </w:p>
        </w:tc>
        <w:tc>
          <w:tcPr>
            <w:tcW w:w="2620" w:type="dxa"/>
            <w:gridSpan w:val="2"/>
            <w:tcBorders>
              <w:bottom w:val="single" w:sz="4" w:space="0" w:color="auto"/>
            </w:tcBorders>
            <w:shd w:val="clear" w:color="auto" w:fill="C0C0C0"/>
            <w:vAlign w:val="center"/>
          </w:tcPr>
          <w:p w:rsidR="009B2F21" w:rsidRPr="00935B38" w:rsidRDefault="00125548" w:rsidP="00BF3E14">
            <w:pPr>
              <w:jc w:val="both"/>
              <w:rPr>
                <w:rFonts w:ascii="Verdana" w:hAnsi="Verdana"/>
                <w:b/>
                <w:sz w:val="20"/>
                <w:szCs w:val="20"/>
              </w:rPr>
            </w:pPr>
            <w:r w:rsidRPr="00935B38">
              <w:rPr>
                <w:rFonts w:ascii="Verdana" w:hAnsi="Verdana"/>
                <w:b/>
                <w:sz w:val="20"/>
                <w:szCs w:val="20"/>
              </w:rPr>
              <w:t>Data</w:t>
            </w:r>
          </w:p>
        </w:tc>
        <w:tc>
          <w:tcPr>
            <w:tcW w:w="2292" w:type="dxa"/>
            <w:vMerge w:val="restart"/>
            <w:shd w:val="clear" w:color="auto" w:fill="C0C0C0"/>
            <w:vAlign w:val="center"/>
          </w:tcPr>
          <w:p w:rsidR="009B2F21" w:rsidRPr="00935B38" w:rsidRDefault="00125548" w:rsidP="00BF3E14">
            <w:pPr>
              <w:jc w:val="both"/>
              <w:rPr>
                <w:rFonts w:ascii="Verdana" w:hAnsi="Verdana"/>
                <w:b/>
                <w:sz w:val="20"/>
                <w:szCs w:val="20"/>
              </w:rPr>
            </w:pPr>
            <w:r w:rsidRPr="00935B38">
              <w:rPr>
                <w:rFonts w:ascii="Verdana" w:hAnsi="Verdana"/>
                <w:b/>
                <w:sz w:val="20"/>
                <w:szCs w:val="20"/>
              </w:rPr>
              <w:t>Alterações</w:t>
            </w:r>
          </w:p>
        </w:tc>
        <w:tc>
          <w:tcPr>
            <w:tcW w:w="2879" w:type="dxa"/>
            <w:vMerge w:val="restart"/>
            <w:shd w:val="clear" w:color="auto" w:fill="C0C0C0"/>
            <w:vAlign w:val="center"/>
          </w:tcPr>
          <w:p w:rsidR="009B2F21" w:rsidRPr="00935B38" w:rsidRDefault="00125548" w:rsidP="00BF3E14">
            <w:pPr>
              <w:jc w:val="both"/>
              <w:rPr>
                <w:rFonts w:ascii="Verdana" w:hAnsi="Verdana"/>
                <w:b/>
                <w:sz w:val="20"/>
                <w:szCs w:val="20"/>
              </w:rPr>
            </w:pPr>
            <w:r w:rsidRPr="00935B38">
              <w:rPr>
                <w:rFonts w:ascii="Verdana" w:hAnsi="Verdana"/>
                <w:b/>
                <w:sz w:val="20"/>
                <w:szCs w:val="20"/>
              </w:rPr>
              <w:t>Revisores / Aprovadores</w:t>
            </w:r>
          </w:p>
        </w:tc>
      </w:tr>
      <w:tr w:rsidR="009B2F21" w:rsidRPr="00935B38" w:rsidTr="00C32182">
        <w:trPr>
          <w:trHeight w:val="184"/>
        </w:trPr>
        <w:tc>
          <w:tcPr>
            <w:tcW w:w="1326" w:type="dxa"/>
            <w:vMerge/>
          </w:tcPr>
          <w:p w:rsidR="00251427" w:rsidRPr="00935B38" w:rsidRDefault="00251427" w:rsidP="00BF3E14">
            <w:pPr>
              <w:jc w:val="both"/>
              <w:rPr>
                <w:rFonts w:ascii="Verdana" w:hAnsi="Verdana"/>
                <w:sz w:val="20"/>
                <w:szCs w:val="20"/>
              </w:rPr>
            </w:pPr>
          </w:p>
        </w:tc>
        <w:tc>
          <w:tcPr>
            <w:tcW w:w="1211" w:type="dxa"/>
            <w:tcBorders>
              <w:top w:val="single" w:sz="4" w:space="0" w:color="auto"/>
              <w:bottom w:val="single" w:sz="4" w:space="0" w:color="auto"/>
              <w:right w:val="single" w:sz="4" w:space="0" w:color="auto"/>
            </w:tcBorders>
            <w:shd w:val="clear" w:color="auto" w:fill="C0C0C0"/>
            <w:vAlign w:val="center"/>
          </w:tcPr>
          <w:p w:rsidR="009B2F21" w:rsidRPr="00935B38" w:rsidRDefault="00125548" w:rsidP="00BF3E14">
            <w:pPr>
              <w:ind w:left="-57" w:right="-57"/>
              <w:jc w:val="both"/>
              <w:rPr>
                <w:rFonts w:ascii="Verdana" w:hAnsi="Verdana"/>
                <w:sz w:val="20"/>
                <w:szCs w:val="20"/>
              </w:rPr>
            </w:pPr>
            <w:r w:rsidRPr="00935B38">
              <w:rPr>
                <w:rFonts w:ascii="Verdana" w:hAnsi="Verdana"/>
                <w:sz w:val="20"/>
                <w:szCs w:val="20"/>
              </w:rPr>
              <w:t>Publicação</w:t>
            </w:r>
          </w:p>
        </w:tc>
        <w:tc>
          <w:tcPr>
            <w:tcW w:w="1409" w:type="dxa"/>
            <w:tcBorders>
              <w:top w:val="single" w:sz="4" w:space="0" w:color="auto"/>
              <w:left w:val="single" w:sz="4" w:space="0" w:color="auto"/>
              <w:bottom w:val="single" w:sz="4" w:space="0" w:color="auto"/>
            </w:tcBorders>
            <w:shd w:val="clear" w:color="auto" w:fill="C0C0C0"/>
            <w:vAlign w:val="center"/>
          </w:tcPr>
          <w:p w:rsidR="009B2F21" w:rsidRPr="00935B38" w:rsidRDefault="00125548" w:rsidP="00BF3E14">
            <w:pPr>
              <w:ind w:left="-57" w:right="-57"/>
              <w:jc w:val="both"/>
              <w:rPr>
                <w:rFonts w:ascii="Verdana" w:hAnsi="Verdana"/>
                <w:sz w:val="20"/>
                <w:szCs w:val="20"/>
              </w:rPr>
            </w:pPr>
            <w:r w:rsidRPr="00935B38">
              <w:rPr>
                <w:rFonts w:ascii="Verdana" w:hAnsi="Verdana"/>
                <w:sz w:val="20"/>
                <w:szCs w:val="20"/>
              </w:rPr>
              <w:t>Implantação</w:t>
            </w:r>
          </w:p>
        </w:tc>
        <w:tc>
          <w:tcPr>
            <w:tcW w:w="2292" w:type="dxa"/>
            <w:vMerge/>
          </w:tcPr>
          <w:p w:rsidR="00251427" w:rsidRPr="00935B38" w:rsidRDefault="00251427" w:rsidP="00BF3E14">
            <w:pPr>
              <w:jc w:val="both"/>
              <w:rPr>
                <w:rFonts w:ascii="Verdana" w:hAnsi="Verdana"/>
                <w:sz w:val="20"/>
                <w:szCs w:val="20"/>
              </w:rPr>
            </w:pPr>
          </w:p>
        </w:tc>
        <w:tc>
          <w:tcPr>
            <w:tcW w:w="2879" w:type="dxa"/>
            <w:vMerge/>
          </w:tcPr>
          <w:p w:rsidR="00251427" w:rsidRPr="00935B38" w:rsidRDefault="00251427" w:rsidP="00BF3E14">
            <w:pPr>
              <w:jc w:val="both"/>
              <w:rPr>
                <w:rFonts w:ascii="Verdana" w:hAnsi="Verdana"/>
                <w:sz w:val="20"/>
                <w:szCs w:val="20"/>
              </w:rPr>
            </w:pPr>
          </w:p>
        </w:tc>
      </w:tr>
      <w:tr w:rsidR="009B2F21" w:rsidRPr="00935B38" w:rsidTr="00C32182">
        <w:trPr>
          <w:trHeight w:val="288"/>
        </w:trPr>
        <w:tc>
          <w:tcPr>
            <w:tcW w:w="1326" w:type="dxa"/>
            <w:vAlign w:val="center"/>
          </w:tcPr>
          <w:p w:rsidR="009B2F21" w:rsidRPr="00935B38" w:rsidRDefault="00125548" w:rsidP="00BF3E14">
            <w:pPr>
              <w:spacing w:before="40"/>
              <w:ind w:left="-57" w:right="-57"/>
              <w:jc w:val="both"/>
              <w:rPr>
                <w:rFonts w:ascii="Verdana" w:hAnsi="Verdana"/>
                <w:sz w:val="20"/>
                <w:szCs w:val="20"/>
              </w:rPr>
            </w:pPr>
            <w:r w:rsidRPr="00935B38">
              <w:rPr>
                <w:rFonts w:ascii="Verdana" w:hAnsi="Verdana"/>
                <w:sz w:val="20"/>
                <w:szCs w:val="20"/>
              </w:rPr>
              <w:t xml:space="preserve">REV. 01 </w:t>
            </w:r>
          </w:p>
        </w:tc>
        <w:tc>
          <w:tcPr>
            <w:tcW w:w="1211" w:type="dxa"/>
            <w:vAlign w:val="center"/>
          </w:tcPr>
          <w:p w:rsidR="009B2F21" w:rsidRPr="00935B38" w:rsidRDefault="00DA7A54" w:rsidP="00BF3E14">
            <w:pPr>
              <w:spacing w:before="40"/>
              <w:jc w:val="both"/>
              <w:rPr>
                <w:rFonts w:ascii="Verdana" w:hAnsi="Verdana"/>
                <w:sz w:val="20"/>
                <w:szCs w:val="20"/>
              </w:rPr>
            </w:pPr>
          </w:p>
        </w:tc>
        <w:tc>
          <w:tcPr>
            <w:tcW w:w="1409" w:type="dxa"/>
            <w:vAlign w:val="center"/>
          </w:tcPr>
          <w:p w:rsidR="009B2F21" w:rsidRPr="00935B38" w:rsidRDefault="00DA7A54" w:rsidP="00BF3E14">
            <w:pPr>
              <w:spacing w:before="40"/>
              <w:jc w:val="both"/>
              <w:rPr>
                <w:rFonts w:ascii="Verdana" w:hAnsi="Verdana"/>
                <w:sz w:val="20"/>
                <w:szCs w:val="20"/>
              </w:rPr>
            </w:pPr>
            <w:bookmarkStart w:id="0" w:name="_GoBack"/>
            <w:bookmarkEnd w:id="0"/>
          </w:p>
        </w:tc>
        <w:tc>
          <w:tcPr>
            <w:tcW w:w="2292" w:type="dxa"/>
            <w:vAlign w:val="center"/>
          </w:tcPr>
          <w:p w:rsidR="009B2F21" w:rsidRPr="00935B38" w:rsidRDefault="0023203B" w:rsidP="00BF3E14">
            <w:pPr>
              <w:spacing w:before="40"/>
              <w:jc w:val="both"/>
              <w:rPr>
                <w:rFonts w:ascii="Verdana" w:hAnsi="Verdana"/>
                <w:sz w:val="20"/>
                <w:szCs w:val="20"/>
              </w:rPr>
            </w:pPr>
            <w:r>
              <w:rPr>
                <w:rFonts w:ascii="Verdana" w:hAnsi="Verdana"/>
                <w:sz w:val="20"/>
                <w:szCs w:val="20"/>
              </w:rPr>
              <w:t>Não aplicável</w:t>
            </w:r>
          </w:p>
        </w:tc>
        <w:tc>
          <w:tcPr>
            <w:tcW w:w="2879" w:type="dxa"/>
            <w:shd w:val="clear" w:color="auto" w:fill="auto"/>
            <w:vAlign w:val="center"/>
          </w:tcPr>
          <w:p w:rsidR="008C1384" w:rsidRPr="00935B38" w:rsidRDefault="00DA7A54" w:rsidP="00BF3E14">
            <w:pPr>
              <w:spacing w:before="40"/>
              <w:ind w:left="170"/>
              <w:jc w:val="both"/>
              <w:rPr>
                <w:rFonts w:ascii="Verdana" w:hAnsi="Verdana"/>
                <w:sz w:val="20"/>
                <w:szCs w:val="20"/>
              </w:rPr>
            </w:pPr>
          </w:p>
          <w:p w:rsidR="006F0093" w:rsidRDefault="006F0093" w:rsidP="00BF3E14">
            <w:pPr>
              <w:spacing w:before="40"/>
              <w:jc w:val="both"/>
              <w:rPr>
                <w:rFonts w:ascii="Verdana" w:hAnsi="Verdana"/>
                <w:sz w:val="20"/>
                <w:szCs w:val="20"/>
              </w:rPr>
            </w:pPr>
            <w:r>
              <w:rPr>
                <w:rFonts w:ascii="Verdana" w:hAnsi="Verdana"/>
                <w:sz w:val="20"/>
                <w:szCs w:val="20"/>
              </w:rPr>
              <w:t>GVM</w:t>
            </w:r>
            <w:r w:rsidR="0023203B">
              <w:rPr>
                <w:rFonts w:ascii="Verdana" w:hAnsi="Verdana"/>
                <w:sz w:val="20"/>
                <w:szCs w:val="20"/>
              </w:rPr>
              <w:t xml:space="preserve">: Rosangela Nascimento </w:t>
            </w:r>
            <w:r>
              <w:rPr>
                <w:rFonts w:ascii="Verdana" w:hAnsi="Verdana"/>
                <w:sz w:val="20"/>
                <w:szCs w:val="20"/>
              </w:rPr>
              <w:t xml:space="preserve"> </w:t>
            </w:r>
          </w:p>
          <w:p w:rsidR="006F0FF5" w:rsidRPr="00935B38" w:rsidRDefault="00DA7A54" w:rsidP="00BF3E14">
            <w:pPr>
              <w:spacing w:before="40"/>
              <w:jc w:val="both"/>
              <w:rPr>
                <w:rFonts w:ascii="Verdana" w:hAnsi="Verdana"/>
                <w:sz w:val="20"/>
                <w:szCs w:val="20"/>
              </w:rPr>
            </w:pPr>
          </w:p>
          <w:p w:rsidR="008C1384" w:rsidRPr="00935B38" w:rsidRDefault="00DA7A54" w:rsidP="00BF3E14">
            <w:pPr>
              <w:spacing w:before="40"/>
              <w:ind w:left="170"/>
              <w:jc w:val="both"/>
              <w:rPr>
                <w:rFonts w:ascii="Verdana" w:hAnsi="Verdana"/>
                <w:sz w:val="20"/>
                <w:szCs w:val="20"/>
              </w:rPr>
            </w:pPr>
          </w:p>
        </w:tc>
      </w:tr>
    </w:tbl>
    <w:p w:rsidR="009B2F21" w:rsidRPr="00935B38" w:rsidRDefault="00DA7A54" w:rsidP="00BF3E14">
      <w:pPr>
        <w:jc w:val="both"/>
        <w:rPr>
          <w:rFonts w:ascii="Verdana" w:hAnsi="Verdana"/>
          <w:sz w:val="20"/>
          <w:szCs w:val="20"/>
        </w:rPr>
      </w:pPr>
    </w:p>
    <w:p w:rsidR="00835EC1" w:rsidRPr="00935B38" w:rsidRDefault="00DA7A54" w:rsidP="00BF3E14">
      <w:pPr>
        <w:pStyle w:val="ListParagraph"/>
        <w:jc w:val="both"/>
        <w:rPr>
          <w:rFonts w:ascii="Verdana" w:hAnsi="Verdana"/>
          <w:b/>
          <w:sz w:val="20"/>
          <w:szCs w:val="20"/>
        </w:rPr>
      </w:pPr>
    </w:p>
    <w:p w:rsidR="00592561" w:rsidRPr="00935B38" w:rsidRDefault="00DA7A54" w:rsidP="00BF3E14">
      <w:pPr>
        <w:jc w:val="both"/>
        <w:rPr>
          <w:rFonts w:ascii="Verdana" w:hAnsi="Verdana"/>
          <w:sz w:val="20"/>
          <w:szCs w:val="20"/>
        </w:rPr>
      </w:pPr>
    </w:p>
    <w:p w:rsidR="00592561"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p w:rsidR="00765D3E" w:rsidRPr="00935B38" w:rsidRDefault="00DA7A54" w:rsidP="00BF3E14">
      <w:pPr>
        <w:jc w:val="both"/>
        <w:rPr>
          <w:rFonts w:ascii="Verdana" w:hAnsi="Verdana"/>
          <w:sz w:val="20"/>
          <w:szCs w:val="20"/>
        </w:rPr>
      </w:pPr>
    </w:p>
    <w:sectPr w:rsidR="00765D3E" w:rsidRPr="00935B38" w:rsidSect="00A0325D">
      <w:headerReference w:type="default" r:id="rId8"/>
      <w:footerReference w:type="even" r:id="rId9"/>
      <w:footerReference w:type="default" r:id="rId10"/>
      <w:footerReference w:type="first" r:id="rId11"/>
      <w:pgSz w:w="12240" w:h="15840"/>
      <w:pgMar w:top="1417" w:right="1701" w:bottom="1417" w:left="1701" w:header="708" w:footer="708" w:gutter="0"/>
      <w:pgNumType w:start="1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54" w:rsidRDefault="00DA7A54">
      <w:r>
        <w:separator/>
      </w:r>
    </w:p>
  </w:endnote>
  <w:endnote w:type="continuationSeparator" w:id="0">
    <w:p w:rsidR="00DA7A54" w:rsidRDefault="00D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B9" w:rsidRDefault="00125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7B9" w:rsidRDefault="00DA7A54">
    <w:pPr>
      <w:pStyle w:val="Footer"/>
      <w:ind w:right="360"/>
    </w:pPr>
  </w:p>
  <w:p w:rsidR="007E2A5B" w:rsidRDefault="00DA7A54" w:rsidP="007E2A5B">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843AAB" w:rsidTr="00761F97">
      <w:tc>
        <w:tcPr>
          <w:tcW w:w="10348" w:type="dxa"/>
          <w:tcBorders>
            <w:top w:val="single" w:sz="4" w:space="0" w:color="auto"/>
            <w:left w:val="nil"/>
            <w:bottom w:val="nil"/>
            <w:right w:val="nil"/>
          </w:tcBorders>
        </w:tcPr>
        <w:p w:rsidR="00843AAB" w:rsidRPr="00761F97" w:rsidRDefault="00125548" w:rsidP="00124DED">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TURISMO</w:t>
          </w:r>
          <w:r w:rsidRPr="00761F97">
            <w:rPr>
              <w:rFonts w:ascii="Verdana" w:hAnsi="Verdana"/>
              <w:i/>
              <w:sz w:val="16"/>
              <w:szCs w:val="16"/>
            </w:rPr>
            <w:t>.</w:t>
          </w:r>
        </w:p>
      </w:tc>
    </w:tr>
  </w:tbl>
  <w:p w:rsidR="00843AAB" w:rsidRPr="0030197E" w:rsidRDefault="00125548" w:rsidP="00843AA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5E3AB9">
      <w:rPr>
        <w:rStyle w:val="PageNumber"/>
        <w:rFonts w:ascii="Verdana" w:hAnsi="Verdana"/>
        <w:noProof/>
        <w:sz w:val="18"/>
      </w:rPr>
      <w:t>166</w:t>
    </w:r>
    <w:r w:rsidRPr="0030197E">
      <w:rPr>
        <w:rStyle w:val="PageNumber"/>
        <w:rFonts w:ascii="Verdana" w:hAnsi="Verdana"/>
        <w:sz w:val="18"/>
      </w:rPr>
      <w:fldChar w:fldCharType="end"/>
    </w:r>
  </w:p>
  <w:p w:rsidR="007E2A5B" w:rsidRDefault="00DA7A54" w:rsidP="0023203B">
    <w:pPr>
      <w:pStyle w:val="DSLxStyle"/>
      <w:numPr>
        <w:ilvl w:val="0"/>
        <w:numId w:val="0"/>
      </w:numPr>
      <w:ind w:left="108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C" w:rsidRDefault="00DA7A54">
    <w:pPr>
      <w:pStyle w:val="Footer"/>
    </w:pPr>
  </w:p>
  <w:p w:rsidR="007E2A5B" w:rsidRDefault="00DA7A54" w:rsidP="007E2A5B">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54" w:rsidRDefault="00DA7A54">
      <w:r>
        <w:separator/>
      </w:r>
    </w:p>
  </w:footnote>
  <w:footnote w:type="continuationSeparator" w:id="0">
    <w:p w:rsidR="00DA7A54" w:rsidRDefault="00DA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3D67B9" w:rsidTr="00986E3A">
      <w:trPr>
        <w:cantSplit/>
        <w:trHeight w:val="699"/>
      </w:trPr>
      <w:tc>
        <w:tcPr>
          <w:tcW w:w="1690" w:type="dxa"/>
          <w:vMerge w:val="restart"/>
          <w:vAlign w:val="center"/>
        </w:tcPr>
        <w:p w:rsidR="003D67B9" w:rsidRPr="00FF6FAA" w:rsidRDefault="00125548" w:rsidP="002C5108">
          <w:pPr>
            <w:pStyle w:val="Header"/>
            <w:jc w:val="center"/>
          </w:pPr>
          <w:r w:rsidRPr="00D85E31">
            <w:rPr>
              <w:noProof/>
              <w:lang w:val="en-US" w:eastAsia="en-US"/>
            </w:rPr>
            <w:drawing>
              <wp:inline distT="0" distB="0" distL="0" distR="0">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rsidR="00CB6140" w:rsidRDefault="00125548" w:rsidP="00CB6140">
          <w:pPr>
            <w:pStyle w:val="Heading3"/>
            <w:numPr>
              <w:ilvl w:val="0"/>
              <w:numId w:val="0"/>
            </w:numPr>
            <w:spacing w:before="0" w:after="0"/>
            <w:jc w:val="center"/>
            <w:rPr>
              <w:b/>
              <w:sz w:val="24"/>
            </w:rPr>
          </w:pPr>
          <w:r>
            <w:rPr>
              <w:b/>
              <w:sz w:val="24"/>
            </w:rPr>
            <w:t>Manual de Normas e Procedimentos</w:t>
          </w:r>
        </w:p>
        <w:p w:rsidR="00751D5B" w:rsidRPr="00CB6140" w:rsidRDefault="00125548" w:rsidP="00733F4D">
          <w:pPr>
            <w:pStyle w:val="Heading3"/>
            <w:numPr>
              <w:ilvl w:val="0"/>
              <w:numId w:val="0"/>
            </w:numPr>
            <w:spacing w:before="0" w:after="0"/>
            <w:jc w:val="center"/>
            <w:rPr>
              <w:b/>
              <w:sz w:val="24"/>
            </w:rPr>
          </w:pPr>
          <w:r>
            <w:t>Locações</w:t>
          </w:r>
        </w:p>
      </w:tc>
      <w:tc>
        <w:tcPr>
          <w:tcW w:w="1843" w:type="dxa"/>
        </w:tcPr>
        <w:p w:rsidR="003D67B9" w:rsidRDefault="00125548" w:rsidP="00BF7186">
          <w:pPr>
            <w:pStyle w:val="Header"/>
            <w:spacing w:before="0" w:after="0"/>
            <w:jc w:val="left"/>
          </w:pPr>
          <w:r>
            <w:rPr>
              <w:b/>
            </w:rPr>
            <w:t>Nº:</w:t>
          </w:r>
          <w:r>
            <w:rPr>
              <w:b/>
            </w:rPr>
            <w:br/>
          </w:r>
          <w:r w:rsidR="006F0093">
            <w:t>NG GVM</w:t>
          </w:r>
          <w:r>
            <w:t xml:space="preserve"> 0</w:t>
          </w:r>
          <w:r w:rsidRPr="00A4434E">
            <w:t>1</w:t>
          </w:r>
        </w:p>
      </w:tc>
    </w:tr>
    <w:tr w:rsidR="003D67B9" w:rsidTr="00986E3A">
      <w:trPr>
        <w:cantSplit/>
        <w:trHeight w:val="558"/>
      </w:trPr>
      <w:tc>
        <w:tcPr>
          <w:tcW w:w="1690" w:type="dxa"/>
          <w:vMerge/>
        </w:tcPr>
        <w:p w:rsidR="003D67B9" w:rsidRPr="00FF6FAA" w:rsidRDefault="00DA7A54">
          <w:pPr>
            <w:pStyle w:val="Header"/>
          </w:pPr>
        </w:p>
      </w:tc>
      <w:tc>
        <w:tcPr>
          <w:tcW w:w="1854" w:type="dxa"/>
        </w:tcPr>
        <w:p w:rsidR="003D67B9" w:rsidRPr="00986E3A" w:rsidRDefault="00125548" w:rsidP="00733F4D">
          <w:pPr>
            <w:pStyle w:val="Header"/>
            <w:spacing w:before="0" w:after="0"/>
            <w:jc w:val="left"/>
            <w:rPr>
              <w:b/>
              <w:sz w:val="16"/>
            </w:rPr>
          </w:pPr>
          <w:r w:rsidRPr="00986E3A">
            <w:rPr>
              <w:b/>
              <w:sz w:val="16"/>
            </w:rPr>
            <w:t>Data elaboração:</w:t>
          </w:r>
          <w:r w:rsidRPr="00986E3A">
            <w:rPr>
              <w:b/>
              <w:sz w:val="16"/>
            </w:rPr>
            <w:br/>
          </w:r>
          <w:r w:rsidR="005E3AB9">
            <w:rPr>
              <w:sz w:val="16"/>
            </w:rPr>
            <w:t>08/12</w:t>
          </w:r>
          <w:r>
            <w:rPr>
              <w:sz w:val="16"/>
            </w:rPr>
            <w:t>/</w:t>
          </w:r>
          <w:r w:rsidR="005E3AB9">
            <w:rPr>
              <w:sz w:val="16"/>
            </w:rPr>
            <w:t>20</w:t>
          </w:r>
          <w:r>
            <w:rPr>
              <w:sz w:val="16"/>
            </w:rPr>
            <w:t>17</w:t>
          </w:r>
        </w:p>
      </w:tc>
      <w:tc>
        <w:tcPr>
          <w:tcW w:w="900" w:type="dxa"/>
        </w:tcPr>
        <w:p w:rsidR="003D67B9" w:rsidRPr="00986E3A" w:rsidRDefault="00125548" w:rsidP="00BC74EB">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794" w:type="dxa"/>
        </w:tcPr>
        <w:p w:rsidR="003D67B9" w:rsidRPr="00AB50E7" w:rsidRDefault="00125548" w:rsidP="00733F4D">
          <w:pPr>
            <w:pStyle w:val="Header"/>
            <w:spacing w:before="0" w:after="0"/>
            <w:jc w:val="left"/>
            <w:rPr>
              <w:b/>
              <w:sz w:val="16"/>
            </w:rPr>
          </w:pPr>
          <w:r w:rsidRPr="00AB50E7">
            <w:rPr>
              <w:b/>
              <w:sz w:val="16"/>
            </w:rPr>
            <w:t>Autor:</w:t>
          </w:r>
          <w:r w:rsidRPr="00AB50E7">
            <w:rPr>
              <w:b/>
              <w:sz w:val="16"/>
            </w:rPr>
            <w:br/>
          </w:r>
          <w:r w:rsidRPr="00AB50E7">
            <w:rPr>
              <w:sz w:val="16"/>
            </w:rPr>
            <w:t>PwC</w:t>
          </w:r>
        </w:p>
      </w:tc>
      <w:tc>
        <w:tcPr>
          <w:tcW w:w="2126" w:type="dxa"/>
        </w:tcPr>
        <w:p w:rsidR="003D67B9" w:rsidRPr="00AB50E7" w:rsidRDefault="00125548" w:rsidP="00733F4D">
          <w:pPr>
            <w:pStyle w:val="Header"/>
            <w:spacing w:before="0" w:after="0"/>
            <w:jc w:val="left"/>
            <w:rPr>
              <w:b/>
              <w:sz w:val="16"/>
            </w:rPr>
          </w:pPr>
          <w:r w:rsidRPr="00AB50E7">
            <w:rPr>
              <w:b/>
              <w:sz w:val="16"/>
            </w:rPr>
            <w:t>Revisado por:</w:t>
          </w:r>
          <w:r w:rsidRPr="00AB50E7">
            <w:rPr>
              <w:b/>
              <w:sz w:val="16"/>
            </w:rPr>
            <w:br/>
          </w:r>
          <w:r w:rsidRPr="00AB50E7">
            <w:rPr>
              <w:sz w:val="16"/>
            </w:rPr>
            <w:t>Rosangela Nascimento</w:t>
          </w:r>
        </w:p>
      </w:tc>
      <w:tc>
        <w:tcPr>
          <w:tcW w:w="1843" w:type="dxa"/>
        </w:tcPr>
        <w:p w:rsidR="00D81AAD" w:rsidRPr="00AB50E7" w:rsidRDefault="00125548" w:rsidP="00733F4D">
          <w:pPr>
            <w:pStyle w:val="Header"/>
            <w:spacing w:before="0" w:after="0"/>
            <w:jc w:val="left"/>
            <w:rPr>
              <w:b/>
              <w:sz w:val="16"/>
            </w:rPr>
          </w:pPr>
          <w:r w:rsidRPr="00AB50E7">
            <w:rPr>
              <w:b/>
              <w:sz w:val="16"/>
            </w:rPr>
            <w:t>Última revisão:</w:t>
          </w:r>
        </w:p>
        <w:p w:rsidR="003D67B9" w:rsidRPr="008C1384" w:rsidRDefault="005E3AB9" w:rsidP="00733F4D">
          <w:pPr>
            <w:pStyle w:val="Header"/>
            <w:spacing w:before="0" w:after="0"/>
            <w:jc w:val="left"/>
            <w:rPr>
              <w:sz w:val="16"/>
              <w:highlight w:val="yellow"/>
            </w:rPr>
          </w:pPr>
          <w:r>
            <w:rPr>
              <w:sz w:val="16"/>
            </w:rPr>
            <w:t>08/12</w:t>
          </w:r>
          <w:r w:rsidR="00125548" w:rsidRPr="008C1384">
            <w:rPr>
              <w:sz w:val="16"/>
            </w:rPr>
            <w:t>/2017</w:t>
          </w:r>
        </w:p>
      </w:tc>
    </w:tr>
  </w:tbl>
  <w:p w:rsidR="003D67B9" w:rsidRDefault="00DA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7B4382A"/>
    <w:multiLevelType w:val="multilevel"/>
    <w:tmpl w:val="C34CF11A"/>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5"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B011E3E"/>
    <w:multiLevelType w:val="hybridMultilevel"/>
    <w:tmpl w:val="1DFCA066"/>
    <w:lvl w:ilvl="0" w:tplc="04160005">
      <w:start w:val="1"/>
      <w:numFmt w:val="bullet"/>
      <w:lvlText w:val=""/>
      <w:lvlJc w:val="left"/>
      <w:pPr>
        <w:tabs>
          <w:tab w:val="num" w:pos="1980"/>
        </w:tabs>
        <w:ind w:left="1980" w:hanging="360"/>
      </w:pPr>
      <w:rPr>
        <w:rFonts w:ascii="Wingdings" w:hAnsi="Wingdings" w:hint="default"/>
      </w:rPr>
    </w:lvl>
    <w:lvl w:ilvl="1" w:tplc="04160003" w:tentative="1">
      <w:start w:val="1"/>
      <w:numFmt w:val="bullet"/>
      <w:lvlText w:val="o"/>
      <w:lvlJc w:val="left"/>
      <w:pPr>
        <w:tabs>
          <w:tab w:val="num" w:pos="2700"/>
        </w:tabs>
        <w:ind w:left="2700" w:hanging="360"/>
      </w:pPr>
      <w:rPr>
        <w:rFonts w:ascii="Courier New" w:hAnsi="Courier New" w:cs="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cs="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cs="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8"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A812A4"/>
    <w:multiLevelType w:val="hybridMultilevel"/>
    <w:tmpl w:val="A3626AF6"/>
    <w:lvl w:ilvl="0" w:tplc="0416000D">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1" w15:restartNumberingAfterBreak="0">
    <w:nsid w:val="4BFA6AF7"/>
    <w:multiLevelType w:val="multilevel"/>
    <w:tmpl w:val="18D27620"/>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C1E71B6"/>
    <w:multiLevelType w:val="multilevel"/>
    <w:tmpl w:val="3E1E8E3A"/>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3" w15:restartNumberingAfterBreak="0">
    <w:nsid w:val="53FD4638"/>
    <w:multiLevelType w:val="multilevel"/>
    <w:tmpl w:val="AE4881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5C532539"/>
    <w:multiLevelType w:val="multilevel"/>
    <w:tmpl w:val="BA747C9E"/>
    <w:lvl w:ilvl="0">
      <w:start w:val="1"/>
      <w:numFmt w:val="decimal"/>
      <w:lvlText w:val="%1."/>
      <w:lvlJc w:val="left"/>
      <w:pPr>
        <w:ind w:left="720" w:hanging="360"/>
      </w:pPr>
      <w:rPr>
        <w:rFonts w:hint="default"/>
        <w:color w:val="auto"/>
      </w:rPr>
    </w:lvl>
    <w:lvl w:ilvl="1">
      <w:start w:val="1"/>
      <w:numFmt w:val="decimal"/>
      <w:isLgl/>
      <w:suff w:val="space"/>
      <w:lvlText w:val="%1.%2."/>
      <w:lvlJc w:val="left"/>
      <w:pPr>
        <w:ind w:left="720" w:hanging="720"/>
      </w:pPr>
      <w:rPr>
        <w:rFonts w:hint="default"/>
        <w:b/>
      </w:rPr>
    </w:lvl>
    <w:lvl w:ilvl="2">
      <w:start w:val="1"/>
      <w:numFmt w:val="decimal"/>
      <w:pStyle w:val="DSLxStyle"/>
      <w:isLgl/>
      <w:suff w:val="space"/>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966DD5"/>
    <w:multiLevelType w:val="multilevel"/>
    <w:tmpl w:val="5C4674B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67C46"/>
    <w:multiLevelType w:val="multilevel"/>
    <w:tmpl w:val="7FE03278"/>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AE02599"/>
    <w:multiLevelType w:val="hybridMultilevel"/>
    <w:tmpl w:val="A60499E8"/>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0"/>
  </w:num>
  <w:num w:numId="4">
    <w:abstractNumId w:val="1"/>
  </w:num>
  <w:num w:numId="5">
    <w:abstractNumId w:val="7"/>
  </w:num>
  <w:num w:numId="6">
    <w:abstractNumId w:val="4"/>
  </w:num>
  <w:num w:numId="7">
    <w:abstractNumId w:val="8"/>
  </w:num>
  <w:num w:numId="8">
    <w:abstractNumId w:val="16"/>
  </w:num>
  <w:num w:numId="9">
    <w:abstractNumId w:val="10"/>
  </w:num>
  <w:num w:numId="10">
    <w:abstractNumId w:val="3"/>
  </w:num>
  <w:num w:numId="11">
    <w:abstractNumId w:val="12"/>
  </w:num>
  <w:num w:numId="12">
    <w:abstractNumId w:val="17"/>
  </w:num>
  <w:num w:numId="13">
    <w:abstractNumId w:val="5"/>
  </w:num>
  <w:num w:numId="14">
    <w:abstractNumId w:val="18"/>
  </w:num>
  <w:num w:numId="15">
    <w:abstractNumId w:val="9"/>
  </w:num>
  <w:num w:numId="16">
    <w:abstractNumId w:val="20"/>
  </w:num>
  <w:num w:numId="17">
    <w:abstractNumId w:val="13"/>
  </w:num>
  <w:num w:numId="18">
    <w:abstractNumId w:val="6"/>
  </w:num>
  <w:num w:numId="19">
    <w:abstractNumId w:val="15"/>
  </w:num>
  <w:num w:numId="20">
    <w:abstractNumId w:val="19"/>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27"/>
    <w:rsid w:val="0002582D"/>
    <w:rsid w:val="000A1BE1"/>
    <w:rsid w:val="00120442"/>
    <w:rsid w:val="00125548"/>
    <w:rsid w:val="00183B02"/>
    <w:rsid w:val="00220372"/>
    <w:rsid w:val="0023203B"/>
    <w:rsid w:val="00251427"/>
    <w:rsid w:val="00265C7B"/>
    <w:rsid w:val="002B424F"/>
    <w:rsid w:val="003135CE"/>
    <w:rsid w:val="003649F3"/>
    <w:rsid w:val="00412114"/>
    <w:rsid w:val="004B14EE"/>
    <w:rsid w:val="005625CF"/>
    <w:rsid w:val="005E3AB9"/>
    <w:rsid w:val="006562E4"/>
    <w:rsid w:val="006C0391"/>
    <w:rsid w:val="006E5AB3"/>
    <w:rsid w:val="006F0093"/>
    <w:rsid w:val="00722394"/>
    <w:rsid w:val="007272DF"/>
    <w:rsid w:val="007951BF"/>
    <w:rsid w:val="007E7A73"/>
    <w:rsid w:val="00876E4D"/>
    <w:rsid w:val="008D589C"/>
    <w:rsid w:val="008E7DBA"/>
    <w:rsid w:val="00935B38"/>
    <w:rsid w:val="009C377C"/>
    <w:rsid w:val="009C7705"/>
    <w:rsid w:val="00A0325D"/>
    <w:rsid w:val="00AC6337"/>
    <w:rsid w:val="00AE5392"/>
    <w:rsid w:val="00B32B95"/>
    <w:rsid w:val="00B460A0"/>
    <w:rsid w:val="00BF3E14"/>
    <w:rsid w:val="00C32182"/>
    <w:rsid w:val="00C5524B"/>
    <w:rsid w:val="00C85E58"/>
    <w:rsid w:val="00DA7A54"/>
    <w:rsid w:val="00E975FB"/>
    <w:rsid w:val="00EE1033"/>
    <w:rsid w:val="00F35A00"/>
    <w:rsid w:val="00F77510"/>
    <w:rsid w:val="00F819C0"/>
    <w:rsid w:val="00FC590A"/>
    <w:rsid w:val="00FD0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F2B44"/>
  <w15:docId w15:val="{6F03CAA7-27E3-4A48-9528-E124615E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semiHidden/>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
    <w:name w:val="Cabeçalho do Sumário"/>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character" w:customStyle="1" w:styleId="googqs-tidbitgoogqs-tidbit-0">
    <w:name w:val="goog_qs-tidbit goog_qs-tidbit-0"/>
    <w:rsid w:val="00765D3E"/>
  </w:style>
  <w:style w:type="character" w:customStyle="1" w:styleId="qowt-font3-verdana">
    <w:name w:val="qowt-font3-verdana"/>
    <w:basedOn w:val="DefaultParagraphFont"/>
    <w:rsid w:val="00FD0A55"/>
  </w:style>
  <w:style w:type="paragraph" w:customStyle="1" w:styleId="DSLxStyle">
    <w:name w:val="DSLxStyle"/>
    <w:basedOn w:val="ListParagraph"/>
    <w:link w:val="DSLxStyleChar"/>
    <w:rsid w:val="007E2A5B"/>
    <w:pPr>
      <w:numPr>
        <w:ilvl w:val="2"/>
        <w:numId w:val="2"/>
      </w:numPr>
      <w:jc w:val="right"/>
    </w:pPr>
    <w:rPr>
      <w:rFonts w:ascii="Verdana" w:hAnsi="Verdana"/>
      <w:color w:val="666666"/>
      <w:sz w:val="12"/>
    </w:rPr>
  </w:style>
  <w:style w:type="character" w:customStyle="1" w:styleId="ListParagraphChar">
    <w:name w:val="List Paragraph Char"/>
    <w:basedOn w:val="DefaultParagraphFont"/>
    <w:link w:val="ListParagraph"/>
    <w:rsid w:val="003C529C"/>
    <w:rPr>
      <w:sz w:val="24"/>
      <w:szCs w:val="24"/>
    </w:rPr>
  </w:style>
  <w:style w:type="character" w:customStyle="1" w:styleId="DSLxStyleChar">
    <w:name w:val="DSLxStyle Char"/>
    <w:basedOn w:val="ListParagraphChar"/>
    <w:link w:val="DSLxStyle"/>
    <w:rsid w:val="007E2A5B"/>
    <w:rPr>
      <w:rFonts w:ascii="Verdana" w:hAnsi="Verdana"/>
      <w:color w:val="666666"/>
      <w:sz w:val="12"/>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353311938">
      <w:bodyDiv w:val="1"/>
      <w:marLeft w:val="0"/>
      <w:marRight w:val="0"/>
      <w:marTop w:val="0"/>
      <w:marBottom w:val="0"/>
      <w:divBdr>
        <w:top w:val="none" w:sz="0" w:space="0" w:color="auto"/>
        <w:left w:val="none" w:sz="0" w:space="0" w:color="auto"/>
        <w:bottom w:val="none" w:sz="0" w:space="0" w:color="auto"/>
        <w:right w:val="none" w:sz="0" w:space="0" w:color="auto"/>
      </w:divBdr>
      <w:divsChild>
        <w:div w:id="1591884703">
          <w:marLeft w:val="0"/>
          <w:marRight w:val="0"/>
          <w:marTop w:val="0"/>
          <w:marBottom w:val="0"/>
          <w:divBdr>
            <w:top w:val="none" w:sz="0" w:space="0" w:color="auto"/>
            <w:left w:val="none" w:sz="0" w:space="0" w:color="auto"/>
            <w:bottom w:val="none" w:sz="0" w:space="0" w:color="auto"/>
            <w:right w:val="none" w:sz="0" w:space="0" w:color="auto"/>
          </w:divBdr>
        </w:div>
        <w:div w:id="1705786362">
          <w:marLeft w:val="0"/>
          <w:marRight w:val="0"/>
          <w:marTop w:val="0"/>
          <w:marBottom w:val="0"/>
          <w:divBdr>
            <w:top w:val="none" w:sz="0" w:space="0" w:color="auto"/>
            <w:left w:val="none" w:sz="0" w:space="0" w:color="auto"/>
            <w:bottom w:val="none" w:sz="0" w:space="0" w:color="auto"/>
            <w:right w:val="none" w:sz="0" w:space="0" w:color="auto"/>
          </w:divBdr>
        </w:div>
        <w:div w:id="44136549">
          <w:marLeft w:val="0"/>
          <w:marRight w:val="0"/>
          <w:marTop w:val="0"/>
          <w:marBottom w:val="0"/>
          <w:divBdr>
            <w:top w:val="none" w:sz="0" w:space="0" w:color="auto"/>
            <w:left w:val="none" w:sz="0" w:space="0" w:color="auto"/>
            <w:bottom w:val="none" w:sz="0" w:space="0" w:color="auto"/>
            <w:right w:val="none" w:sz="0" w:space="0" w:color="auto"/>
          </w:divBdr>
        </w:div>
        <w:div w:id="1783723169">
          <w:marLeft w:val="0"/>
          <w:marRight w:val="0"/>
          <w:marTop w:val="0"/>
          <w:marBottom w:val="0"/>
          <w:divBdr>
            <w:top w:val="none" w:sz="0" w:space="0" w:color="auto"/>
            <w:left w:val="none" w:sz="0" w:space="0" w:color="auto"/>
            <w:bottom w:val="none" w:sz="0" w:space="0" w:color="auto"/>
            <w:right w:val="none" w:sz="0" w:space="0" w:color="auto"/>
          </w:divBdr>
        </w:div>
        <w:div w:id="1627932091">
          <w:marLeft w:val="0"/>
          <w:marRight w:val="0"/>
          <w:marTop w:val="0"/>
          <w:marBottom w:val="0"/>
          <w:divBdr>
            <w:top w:val="none" w:sz="0" w:space="0" w:color="auto"/>
            <w:left w:val="none" w:sz="0" w:space="0" w:color="auto"/>
            <w:bottom w:val="none" w:sz="0" w:space="0" w:color="auto"/>
            <w:right w:val="none" w:sz="0" w:space="0" w:color="auto"/>
          </w:divBdr>
        </w:div>
        <w:div w:id="847211137">
          <w:marLeft w:val="0"/>
          <w:marRight w:val="0"/>
          <w:marTop w:val="0"/>
          <w:marBottom w:val="0"/>
          <w:divBdr>
            <w:top w:val="none" w:sz="0" w:space="0" w:color="auto"/>
            <w:left w:val="none" w:sz="0" w:space="0" w:color="auto"/>
            <w:bottom w:val="none" w:sz="0" w:space="0" w:color="auto"/>
            <w:right w:val="none" w:sz="0" w:space="0" w:color="auto"/>
          </w:divBdr>
        </w:div>
        <w:div w:id="2112821025">
          <w:marLeft w:val="0"/>
          <w:marRight w:val="0"/>
          <w:marTop w:val="0"/>
          <w:marBottom w:val="0"/>
          <w:divBdr>
            <w:top w:val="none" w:sz="0" w:space="0" w:color="auto"/>
            <w:left w:val="none" w:sz="0" w:space="0" w:color="auto"/>
            <w:bottom w:val="none" w:sz="0" w:space="0" w:color="auto"/>
            <w:right w:val="none" w:sz="0" w:space="0" w:color="auto"/>
          </w:divBdr>
        </w:div>
        <w:div w:id="1500543116">
          <w:marLeft w:val="0"/>
          <w:marRight w:val="0"/>
          <w:marTop w:val="0"/>
          <w:marBottom w:val="0"/>
          <w:divBdr>
            <w:top w:val="none" w:sz="0" w:space="0" w:color="auto"/>
            <w:left w:val="none" w:sz="0" w:space="0" w:color="auto"/>
            <w:bottom w:val="none" w:sz="0" w:space="0" w:color="auto"/>
            <w:right w:val="none" w:sz="0" w:space="0" w:color="auto"/>
          </w:divBdr>
        </w:div>
        <w:div w:id="778331067">
          <w:marLeft w:val="0"/>
          <w:marRight w:val="0"/>
          <w:marTop w:val="0"/>
          <w:marBottom w:val="0"/>
          <w:divBdr>
            <w:top w:val="none" w:sz="0" w:space="0" w:color="auto"/>
            <w:left w:val="none" w:sz="0" w:space="0" w:color="auto"/>
            <w:bottom w:val="none" w:sz="0" w:space="0" w:color="auto"/>
            <w:right w:val="none" w:sz="0" w:space="0" w:color="auto"/>
          </w:divBdr>
        </w:div>
        <w:div w:id="762804550">
          <w:marLeft w:val="0"/>
          <w:marRight w:val="0"/>
          <w:marTop w:val="0"/>
          <w:marBottom w:val="0"/>
          <w:divBdr>
            <w:top w:val="none" w:sz="0" w:space="0" w:color="auto"/>
            <w:left w:val="none" w:sz="0" w:space="0" w:color="auto"/>
            <w:bottom w:val="none" w:sz="0" w:space="0" w:color="auto"/>
            <w:right w:val="none" w:sz="0" w:space="0" w:color="auto"/>
          </w:divBdr>
        </w:div>
        <w:div w:id="599678851">
          <w:marLeft w:val="0"/>
          <w:marRight w:val="0"/>
          <w:marTop w:val="0"/>
          <w:marBottom w:val="0"/>
          <w:divBdr>
            <w:top w:val="none" w:sz="0" w:space="0" w:color="auto"/>
            <w:left w:val="none" w:sz="0" w:space="0" w:color="auto"/>
            <w:bottom w:val="none" w:sz="0" w:space="0" w:color="auto"/>
            <w:right w:val="none" w:sz="0" w:space="0" w:color="auto"/>
          </w:divBdr>
        </w:div>
        <w:div w:id="1306819297">
          <w:marLeft w:val="0"/>
          <w:marRight w:val="0"/>
          <w:marTop w:val="0"/>
          <w:marBottom w:val="0"/>
          <w:divBdr>
            <w:top w:val="none" w:sz="0" w:space="0" w:color="auto"/>
            <w:left w:val="none" w:sz="0" w:space="0" w:color="auto"/>
            <w:bottom w:val="none" w:sz="0" w:space="0" w:color="auto"/>
            <w:right w:val="none" w:sz="0" w:space="0" w:color="auto"/>
          </w:divBdr>
        </w:div>
        <w:div w:id="686370768">
          <w:marLeft w:val="0"/>
          <w:marRight w:val="0"/>
          <w:marTop w:val="0"/>
          <w:marBottom w:val="0"/>
          <w:divBdr>
            <w:top w:val="none" w:sz="0" w:space="0" w:color="auto"/>
            <w:left w:val="none" w:sz="0" w:space="0" w:color="auto"/>
            <w:bottom w:val="none" w:sz="0" w:space="0" w:color="auto"/>
            <w:right w:val="none" w:sz="0" w:space="0" w:color="auto"/>
          </w:divBdr>
        </w:div>
        <w:div w:id="1199586856">
          <w:marLeft w:val="0"/>
          <w:marRight w:val="0"/>
          <w:marTop w:val="0"/>
          <w:marBottom w:val="0"/>
          <w:divBdr>
            <w:top w:val="none" w:sz="0" w:space="0" w:color="auto"/>
            <w:left w:val="none" w:sz="0" w:space="0" w:color="auto"/>
            <w:bottom w:val="none" w:sz="0" w:space="0" w:color="auto"/>
            <w:right w:val="none" w:sz="0" w:space="0" w:color="auto"/>
          </w:divBdr>
        </w:div>
        <w:div w:id="726953383">
          <w:marLeft w:val="0"/>
          <w:marRight w:val="0"/>
          <w:marTop w:val="0"/>
          <w:marBottom w:val="0"/>
          <w:divBdr>
            <w:top w:val="none" w:sz="0" w:space="0" w:color="auto"/>
            <w:left w:val="none" w:sz="0" w:space="0" w:color="auto"/>
            <w:bottom w:val="none" w:sz="0" w:space="0" w:color="auto"/>
            <w:right w:val="none" w:sz="0" w:space="0" w:color="auto"/>
          </w:divBdr>
        </w:div>
        <w:div w:id="1056777284">
          <w:marLeft w:val="0"/>
          <w:marRight w:val="0"/>
          <w:marTop w:val="0"/>
          <w:marBottom w:val="0"/>
          <w:divBdr>
            <w:top w:val="none" w:sz="0" w:space="0" w:color="auto"/>
            <w:left w:val="none" w:sz="0" w:space="0" w:color="auto"/>
            <w:bottom w:val="none" w:sz="0" w:space="0" w:color="auto"/>
            <w:right w:val="none" w:sz="0" w:space="0" w:color="auto"/>
          </w:divBdr>
        </w:div>
        <w:div w:id="1340767952">
          <w:marLeft w:val="0"/>
          <w:marRight w:val="0"/>
          <w:marTop w:val="0"/>
          <w:marBottom w:val="0"/>
          <w:divBdr>
            <w:top w:val="none" w:sz="0" w:space="0" w:color="auto"/>
            <w:left w:val="none" w:sz="0" w:space="0" w:color="auto"/>
            <w:bottom w:val="none" w:sz="0" w:space="0" w:color="auto"/>
            <w:right w:val="none" w:sz="0" w:space="0" w:color="auto"/>
          </w:divBdr>
        </w:div>
      </w:divsChild>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DA47-4904-4CD6-A6EE-7428BE67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5</Pages>
  <Words>1728</Words>
  <Characters>9851</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Falhas com usuários criados na ferramenta SGA, aponta que e-mail pessoal esta igual ao e-mail corporativo no cadastro de pesso</vt:lpstr>
    </vt:vector>
  </TitlesOfParts>
  <Company>Natura Cosmeticos SA</Company>
  <LinksUpToDate>false</LinksUpToDate>
  <CharactersWithSpaces>11556</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keywords/>
  <dc:description/>
  <cp:lastModifiedBy>Juliana Santos</cp:lastModifiedBy>
  <cp:revision>67</cp:revision>
  <dcterms:created xsi:type="dcterms:W3CDTF">2017-07-26T19:35:00Z</dcterms:created>
  <dcterms:modified xsi:type="dcterms:W3CDTF">2018-04-18T13:14:00Z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06/09/2017 17:36:17</vt:lpwstr>
  </property>
  <property fmtid="{D5CDD505-2E9C-101B-9397-08002B2CF9AE}" pid="5" name="SSDCxCLASSFICATION_GUID">
    <vt:lpwstr>FA9736C6577753FDBD1EC78C94EF2723</vt:lpwstr>
  </property>
  <property fmtid="{D5CDD505-2E9C-101B-9397-08002B2CF9AE}" pid="6" name="SSDCxCLASSFICATION_LANG">
    <vt:lpwstr>pt</vt:lpwstr>
  </property>
</Properties>
</file>