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69" w:rsidRPr="006C0A5F" w:rsidRDefault="00CF7C42" w:rsidP="002B081D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t>Objetivo</w:t>
      </w:r>
    </w:p>
    <w:p w:rsidR="00F51469" w:rsidRPr="006C0A5F" w:rsidRDefault="00F51469" w:rsidP="002B081D">
      <w:pPr>
        <w:ind w:left="-284"/>
        <w:jc w:val="both"/>
        <w:rPr>
          <w:rFonts w:ascii="Verdana" w:hAnsi="Verdana"/>
          <w:b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 xml:space="preserve">Definir diretrizes e padronizar procedimentos de reservas de áreas locáveis da </w:t>
      </w:r>
      <w:r w:rsidR="00F102F3" w:rsidRPr="006C0A5F">
        <w:rPr>
          <w:rFonts w:ascii="Verdana" w:hAnsi="Verdana"/>
          <w:sz w:val="20"/>
          <w:szCs w:val="20"/>
        </w:rPr>
        <w:t>SP Turismo</w:t>
      </w:r>
      <w:r w:rsidRPr="006C0A5F">
        <w:rPr>
          <w:rFonts w:ascii="Verdana" w:hAnsi="Verdana"/>
          <w:sz w:val="20"/>
          <w:szCs w:val="20"/>
        </w:rPr>
        <w:t>, visando a prospecção de clientes e melhor gerenciamento das atividades rotineiras da área.</w:t>
      </w:r>
    </w:p>
    <w:p w:rsidR="000F3C46" w:rsidRPr="006C0A5F" w:rsidRDefault="000F3C46" w:rsidP="002B081D">
      <w:pPr>
        <w:jc w:val="both"/>
        <w:rPr>
          <w:rFonts w:ascii="Verdana" w:hAnsi="Verdana"/>
          <w:b/>
          <w:sz w:val="20"/>
          <w:szCs w:val="20"/>
        </w:rPr>
      </w:pPr>
    </w:p>
    <w:p w:rsidR="006D19C1" w:rsidRPr="006C0A5F" w:rsidRDefault="00CF7C42" w:rsidP="002B081D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t>Abrangência</w:t>
      </w:r>
    </w:p>
    <w:p w:rsidR="006D19C1" w:rsidRPr="006C0A5F" w:rsidRDefault="00CF7C42" w:rsidP="002B081D">
      <w:pPr>
        <w:ind w:left="-284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As definições, diretrizes e demais orientações introduzidas por esta norma aplica</w:t>
      </w:r>
      <w:r w:rsidR="00A915F6" w:rsidRPr="006C0A5F">
        <w:rPr>
          <w:rFonts w:ascii="Verdana" w:hAnsi="Verdana"/>
          <w:sz w:val="20"/>
          <w:szCs w:val="20"/>
        </w:rPr>
        <w:t>m</w:t>
      </w:r>
      <w:r w:rsidRPr="006C0A5F">
        <w:rPr>
          <w:rFonts w:ascii="Verdana" w:hAnsi="Verdana"/>
          <w:sz w:val="20"/>
          <w:szCs w:val="20"/>
        </w:rPr>
        <w:t>-se aos colaboradores envolvidos nos procedimentos efetuados na</w:t>
      </w:r>
      <w:r w:rsidR="000F3C46" w:rsidRPr="006C0A5F">
        <w:rPr>
          <w:rFonts w:ascii="Verdana" w:hAnsi="Verdana"/>
          <w:sz w:val="20"/>
          <w:szCs w:val="20"/>
        </w:rPr>
        <w:t xml:space="preserve"> realização de reserva de áreas locáveis da </w:t>
      </w:r>
      <w:r w:rsidR="00F102F3" w:rsidRPr="006C0A5F">
        <w:rPr>
          <w:rFonts w:ascii="Verdana" w:hAnsi="Verdana"/>
          <w:sz w:val="20"/>
          <w:szCs w:val="20"/>
        </w:rPr>
        <w:t>SP Turismo</w:t>
      </w:r>
      <w:r w:rsidR="003C205D" w:rsidRPr="006C0A5F">
        <w:rPr>
          <w:rFonts w:ascii="Verdana" w:hAnsi="Verdana"/>
          <w:sz w:val="20"/>
          <w:szCs w:val="20"/>
        </w:rPr>
        <w:t>.</w:t>
      </w:r>
    </w:p>
    <w:p w:rsidR="006D19C1" w:rsidRPr="006C0A5F" w:rsidRDefault="00001A9A" w:rsidP="002B081D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6D19C1" w:rsidRPr="006C0A5F" w:rsidRDefault="00CF7C42" w:rsidP="002B081D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t>Definições</w:t>
      </w:r>
    </w:p>
    <w:p w:rsidR="006C0A5F" w:rsidRPr="006C0A5F" w:rsidRDefault="006C0A5F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6C0A5F">
        <w:rPr>
          <w:rFonts w:ascii="Verdana" w:hAnsi="Verdana"/>
          <w:sz w:val="20"/>
          <w:szCs w:val="20"/>
          <w:u w:val="single"/>
        </w:rPr>
        <w:t>Agenda Anhembi:</w:t>
      </w:r>
      <w:r w:rsidRPr="006C0A5F">
        <w:rPr>
          <w:rFonts w:ascii="Verdana" w:hAnsi="Verdana"/>
          <w:sz w:val="20"/>
          <w:szCs w:val="20"/>
        </w:rPr>
        <w:t xml:space="preserve"> É o documento interno e restrito da DMV onde ficam registradas todas os Orçamentos, Reservas e Contratações de áreas locáveis aprovadas e confirmadas pela DMV.</w:t>
      </w:r>
    </w:p>
    <w:p w:rsidR="006C0A5F" w:rsidRPr="006C0A5F" w:rsidRDefault="006C0A5F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CI:</w:t>
      </w:r>
      <w:r w:rsidRPr="006C0A5F">
        <w:rPr>
          <w:rFonts w:ascii="Verdana" w:hAnsi="Verdana"/>
          <w:sz w:val="20"/>
          <w:szCs w:val="20"/>
        </w:rPr>
        <w:t xml:space="preserve"> Correspondência Interna.</w:t>
      </w:r>
    </w:p>
    <w:p w:rsidR="006C0A5F" w:rsidRPr="006C0A5F" w:rsidRDefault="006C0A5F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6C0A5F">
        <w:rPr>
          <w:rFonts w:ascii="Verdana" w:hAnsi="Verdana"/>
          <w:sz w:val="20"/>
          <w:szCs w:val="20"/>
          <w:u w:val="single"/>
        </w:rPr>
        <w:t>Cliente Externo:</w:t>
      </w:r>
      <w:r w:rsidRPr="006C0A5F">
        <w:rPr>
          <w:rFonts w:ascii="Verdana" w:hAnsi="Verdana"/>
          <w:sz w:val="20"/>
          <w:szCs w:val="20"/>
        </w:rPr>
        <w:t xml:space="preserve"> Qualquer pessoa, física ou jurídica, pública ou privada, que não faça parte da SP Turismo.</w:t>
      </w:r>
    </w:p>
    <w:p w:rsidR="006C0A5F" w:rsidRPr="006C0A5F" w:rsidRDefault="006C0A5F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6C0A5F">
        <w:rPr>
          <w:rFonts w:ascii="Verdana" w:hAnsi="Verdana"/>
          <w:sz w:val="20"/>
          <w:szCs w:val="20"/>
          <w:u w:val="single"/>
        </w:rPr>
        <w:t>Cliente Interno:</w:t>
      </w:r>
      <w:r w:rsidRPr="006C0A5F">
        <w:rPr>
          <w:rFonts w:ascii="Verdana" w:hAnsi="Verdana"/>
          <w:sz w:val="20"/>
          <w:szCs w:val="20"/>
        </w:rPr>
        <w:t xml:space="preserve"> Qualquer unidade da SP Turismo.</w:t>
      </w:r>
    </w:p>
    <w:p w:rsidR="006C0A5F" w:rsidRPr="006C0A5F" w:rsidRDefault="006C0A5F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6C0A5F">
        <w:rPr>
          <w:rFonts w:ascii="Verdana" w:hAnsi="Verdana"/>
          <w:sz w:val="20"/>
          <w:szCs w:val="20"/>
          <w:u w:val="single"/>
        </w:rPr>
        <w:t>Contrato de Cessão de Uso:</w:t>
      </w:r>
      <w:r w:rsidRPr="006C0A5F">
        <w:rPr>
          <w:rFonts w:ascii="Verdana" w:hAnsi="Verdana"/>
          <w:sz w:val="20"/>
          <w:szCs w:val="20"/>
        </w:rPr>
        <w:t xml:space="preserve"> Documento assinado entre as partes, que dispõe dos valores, áreas e formas de pagamento de um determinado evento.</w:t>
      </w:r>
    </w:p>
    <w:p w:rsidR="006C0A5F" w:rsidRPr="006C0A5F" w:rsidRDefault="006C0A5F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6C0A5F">
        <w:rPr>
          <w:rFonts w:ascii="Verdana" w:hAnsi="Verdana"/>
          <w:sz w:val="20"/>
          <w:szCs w:val="20"/>
          <w:u w:val="single"/>
        </w:rPr>
        <w:t>DMV:</w:t>
      </w:r>
      <w:r w:rsidRPr="006C0A5F">
        <w:rPr>
          <w:rFonts w:ascii="Verdana" w:hAnsi="Verdana"/>
          <w:sz w:val="20"/>
          <w:szCs w:val="20"/>
        </w:rPr>
        <w:t xml:space="preserve"> Diretoria de Marketing e Vendas.</w:t>
      </w:r>
    </w:p>
    <w:p w:rsidR="006C0A5F" w:rsidRPr="006C0A5F" w:rsidRDefault="006C0A5F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  <w:u w:val="single"/>
        </w:rPr>
        <w:t>Estacionamento:</w:t>
      </w:r>
      <w:r w:rsidRPr="006C0A5F">
        <w:rPr>
          <w:rFonts w:ascii="Verdana" w:hAnsi="Verdana"/>
          <w:sz w:val="20"/>
          <w:szCs w:val="20"/>
        </w:rPr>
        <w:t xml:space="preserve"> Compreende todas as áreas utilizadas como estacionamento no Parque Anhembi, inclusive áreas locáveis quando não utilizadas. </w:t>
      </w:r>
    </w:p>
    <w:p w:rsidR="006C0A5F" w:rsidRPr="006C0A5F" w:rsidRDefault="006C0A5F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6C0A5F">
        <w:rPr>
          <w:rFonts w:ascii="Verdana" w:hAnsi="Verdana"/>
          <w:sz w:val="20"/>
          <w:szCs w:val="20"/>
          <w:u w:val="single"/>
        </w:rPr>
        <w:t>Evento Externo:</w:t>
      </w:r>
      <w:r w:rsidRPr="006C0A5F">
        <w:rPr>
          <w:rFonts w:ascii="Verdana" w:hAnsi="Verdana"/>
          <w:sz w:val="20"/>
          <w:szCs w:val="20"/>
        </w:rPr>
        <w:t xml:space="preserve"> Qualquer evento solicitado e realizado para clientes externos.</w:t>
      </w:r>
    </w:p>
    <w:p w:rsidR="006C0A5F" w:rsidRPr="006C0A5F" w:rsidRDefault="006C0A5F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6C0A5F">
        <w:rPr>
          <w:rFonts w:ascii="Verdana" w:hAnsi="Verdana"/>
          <w:sz w:val="20"/>
          <w:szCs w:val="20"/>
          <w:u w:val="single"/>
        </w:rPr>
        <w:t>Evento Interno:</w:t>
      </w:r>
      <w:r w:rsidRPr="006C0A5F">
        <w:rPr>
          <w:rFonts w:ascii="Verdana" w:hAnsi="Verdana"/>
          <w:sz w:val="20"/>
          <w:szCs w:val="20"/>
        </w:rPr>
        <w:t xml:space="preserve"> Qualquer evento que seja organizado por um cliente interno e dirigido principalmente para clientes internos.</w:t>
      </w:r>
    </w:p>
    <w:p w:rsidR="006C0A5F" w:rsidRPr="006C0A5F" w:rsidRDefault="006C0A5F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6C0A5F">
        <w:rPr>
          <w:rFonts w:ascii="Verdana" w:hAnsi="Verdana"/>
          <w:sz w:val="20"/>
          <w:szCs w:val="20"/>
          <w:u w:val="single"/>
        </w:rPr>
        <w:t>Gestor solicitante:</w:t>
      </w:r>
      <w:r w:rsidRPr="006C0A5F">
        <w:rPr>
          <w:rFonts w:ascii="Verdana" w:hAnsi="Verdana"/>
          <w:sz w:val="20"/>
          <w:szCs w:val="20"/>
        </w:rPr>
        <w:t xml:space="preserve"> É o titular do órgão solicitante em nível mínimo de gerência que irá emitir o documento “Solicitação de Reserva de Áreas Locáveis” </w:t>
      </w:r>
    </w:p>
    <w:p w:rsidR="006C0A5F" w:rsidRPr="00306EFE" w:rsidRDefault="006C0A5F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6C0A5F">
        <w:rPr>
          <w:rFonts w:ascii="Verdana" w:hAnsi="Verdana"/>
          <w:sz w:val="20"/>
          <w:szCs w:val="20"/>
          <w:u w:val="single"/>
        </w:rPr>
        <w:t>GRH:</w:t>
      </w:r>
      <w:r w:rsidRPr="006C0A5F">
        <w:rPr>
          <w:rFonts w:ascii="Verdana" w:hAnsi="Verdana"/>
          <w:sz w:val="20"/>
          <w:szCs w:val="20"/>
        </w:rPr>
        <w:t xml:space="preserve"> Gerência de Recursos Humanos.</w:t>
      </w:r>
    </w:p>
    <w:p w:rsidR="00306EFE" w:rsidRPr="006C0A5F" w:rsidRDefault="00306EFE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GVM:</w:t>
      </w:r>
      <w:r w:rsidRPr="00306EFE">
        <w:rPr>
          <w:rFonts w:ascii="Verdana" w:hAnsi="Verdana"/>
          <w:sz w:val="20"/>
          <w:szCs w:val="20"/>
        </w:rPr>
        <w:t xml:space="preserve"> Gerência de Vendas, Planejamento e Marketing.</w:t>
      </w:r>
    </w:p>
    <w:p w:rsidR="006C0A5F" w:rsidRPr="006C0A5F" w:rsidRDefault="006C0A5F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  <w:u w:val="single"/>
        </w:rPr>
        <w:t>Pavilhão:</w:t>
      </w:r>
      <w:r w:rsidRPr="006C0A5F">
        <w:rPr>
          <w:rFonts w:ascii="Verdana" w:hAnsi="Verdana"/>
          <w:sz w:val="20"/>
          <w:szCs w:val="20"/>
        </w:rPr>
        <w:t xml:space="preserve"> Compreende todo o Pavilhão de Exposições ou suas partes: Pavilhão Norte-Sul, Pavilhão Oeste e Saguão de Entrada.</w:t>
      </w:r>
    </w:p>
    <w:p w:rsidR="006C0A5F" w:rsidRPr="006C0A5F" w:rsidRDefault="006C0A5F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6C0A5F">
        <w:rPr>
          <w:rFonts w:ascii="Verdana" w:hAnsi="Verdana"/>
          <w:sz w:val="20"/>
          <w:szCs w:val="20"/>
          <w:u w:val="single"/>
        </w:rPr>
        <w:t>Reserva de Área:</w:t>
      </w:r>
      <w:r w:rsidRPr="006C0A5F">
        <w:rPr>
          <w:rFonts w:ascii="Verdana" w:hAnsi="Verdana"/>
          <w:sz w:val="20"/>
          <w:szCs w:val="20"/>
        </w:rPr>
        <w:t xml:space="preserve"> Dá-se apenas após o recebimento do formulário assinado pelo Gestor Solicitante e posterior confirmação por parte da DMV ou após o pagamento do sinal por parte dos clientes externos.</w:t>
      </w:r>
    </w:p>
    <w:p w:rsidR="006C0A5F" w:rsidRPr="006C0A5F" w:rsidRDefault="006C0A5F" w:rsidP="002B081D">
      <w:pPr>
        <w:pStyle w:val="ListParagraph"/>
        <w:numPr>
          <w:ilvl w:val="1"/>
          <w:numId w:val="2"/>
        </w:numPr>
        <w:ind w:left="-284" w:firstLine="0"/>
        <w:jc w:val="both"/>
        <w:rPr>
          <w:rFonts w:ascii="Verdana" w:hAnsi="Verdana"/>
          <w:sz w:val="20"/>
          <w:szCs w:val="20"/>
          <w:u w:val="single"/>
        </w:rPr>
      </w:pPr>
      <w:r w:rsidRPr="006C0A5F">
        <w:rPr>
          <w:rFonts w:ascii="Verdana" w:hAnsi="Verdana"/>
          <w:sz w:val="20"/>
          <w:szCs w:val="20"/>
          <w:u w:val="single"/>
        </w:rPr>
        <w:t>Solicitação de Reserva de Áreas locáveis:</w:t>
      </w:r>
      <w:r w:rsidRPr="006C0A5F">
        <w:rPr>
          <w:rFonts w:ascii="Verdana" w:hAnsi="Verdana"/>
          <w:sz w:val="20"/>
          <w:szCs w:val="20"/>
        </w:rPr>
        <w:t xml:space="preserve"> Formulário para preenchido das áreas com interesse em reservar um espaço locável.</w:t>
      </w:r>
    </w:p>
    <w:p w:rsidR="00710BF8" w:rsidRPr="006C0A5F" w:rsidRDefault="00001A9A" w:rsidP="002B081D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27260C" w:rsidRPr="006C0A5F" w:rsidRDefault="00CF7C42" w:rsidP="002B081D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t>Diretrizes</w:t>
      </w:r>
    </w:p>
    <w:p w:rsidR="0051718F" w:rsidRPr="006C0A5F" w:rsidRDefault="00CF7C42" w:rsidP="002B081D">
      <w:pPr>
        <w:pStyle w:val="ListParagraph"/>
        <w:numPr>
          <w:ilvl w:val="1"/>
          <w:numId w:val="2"/>
        </w:numPr>
        <w:ind w:left="-284" w:hanging="11"/>
        <w:jc w:val="both"/>
        <w:rPr>
          <w:rFonts w:ascii="Verdana" w:hAnsi="Verdana"/>
          <w:b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t>Re</w:t>
      </w:r>
      <w:r w:rsidR="00C46C37" w:rsidRPr="006C0A5F">
        <w:rPr>
          <w:rFonts w:ascii="Verdana" w:hAnsi="Verdana"/>
          <w:b/>
          <w:sz w:val="20"/>
          <w:szCs w:val="20"/>
        </w:rPr>
        <w:t>serva de áreas locáveis para clientes internos (Ex. Reuniões Internas)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P</w:t>
      </w:r>
      <w:r w:rsidR="00D1112C" w:rsidRPr="006C0A5F">
        <w:rPr>
          <w:rFonts w:ascii="Verdana" w:hAnsi="Verdana"/>
          <w:sz w:val="20"/>
          <w:szCs w:val="20"/>
        </w:rPr>
        <w:t>a</w:t>
      </w:r>
      <w:r w:rsidRPr="006C0A5F">
        <w:rPr>
          <w:rFonts w:ascii="Verdana" w:hAnsi="Verdana"/>
          <w:sz w:val="20"/>
          <w:szCs w:val="20"/>
        </w:rPr>
        <w:t>ra reserva de áreas locáveis deve ser emitido formulário “SOLICITAÇÃO DE RESERVA DE ÁREAS LOCÁVEIS” por qualquer gestor</w:t>
      </w:r>
      <w:r w:rsidR="005508AC" w:rsidRPr="006C0A5F">
        <w:rPr>
          <w:rFonts w:ascii="Verdana" w:hAnsi="Verdana"/>
          <w:sz w:val="20"/>
          <w:szCs w:val="20"/>
        </w:rPr>
        <w:t>,</w:t>
      </w:r>
      <w:r w:rsidR="006C0A5F">
        <w:rPr>
          <w:rFonts w:ascii="Verdana" w:hAnsi="Verdana"/>
          <w:sz w:val="20"/>
          <w:szCs w:val="20"/>
        </w:rPr>
        <w:t xml:space="preserve"> em nível mínimo de G</w:t>
      </w:r>
      <w:r w:rsidRPr="006C0A5F">
        <w:rPr>
          <w:rFonts w:ascii="Verdana" w:hAnsi="Verdana"/>
          <w:sz w:val="20"/>
          <w:szCs w:val="20"/>
        </w:rPr>
        <w:t>erente</w:t>
      </w:r>
      <w:r w:rsidR="005508AC" w:rsidRPr="006C0A5F">
        <w:rPr>
          <w:rFonts w:ascii="Verdana" w:hAnsi="Verdana"/>
          <w:sz w:val="20"/>
          <w:szCs w:val="20"/>
        </w:rPr>
        <w:t>,</w:t>
      </w:r>
      <w:r w:rsidRPr="006C0A5F">
        <w:rPr>
          <w:rFonts w:ascii="Verdana" w:hAnsi="Verdana"/>
          <w:sz w:val="20"/>
          <w:szCs w:val="20"/>
        </w:rPr>
        <w:t xml:space="preserve"> sempre que desejar reservar quaisquer uma das áreas locáveis do Anhembi Parque.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Antes da emissão do formulário “SOLICITAÇÃO DE RESERVA DE ÁREAS LOCÁVEIS”, a área solicitante deverá confirmar antecipadamente com a DMV</w:t>
      </w:r>
      <w:r w:rsidR="006C0A5F">
        <w:rPr>
          <w:rFonts w:ascii="Verdana" w:hAnsi="Verdana"/>
          <w:sz w:val="20"/>
          <w:szCs w:val="20"/>
        </w:rPr>
        <w:t xml:space="preserve"> (Diretoria de Marketing e Vendas)</w:t>
      </w:r>
      <w:r w:rsidRPr="006C0A5F">
        <w:rPr>
          <w:rFonts w:ascii="Verdana" w:hAnsi="Verdana"/>
          <w:sz w:val="20"/>
          <w:szCs w:val="20"/>
        </w:rPr>
        <w:t xml:space="preserve"> a disponibili</w:t>
      </w:r>
      <w:r w:rsidR="005B2241" w:rsidRPr="006C0A5F">
        <w:rPr>
          <w:rFonts w:ascii="Verdana" w:hAnsi="Verdana"/>
          <w:sz w:val="20"/>
          <w:szCs w:val="20"/>
        </w:rPr>
        <w:t>dade da área e da data desejada, via CI</w:t>
      </w:r>
      <w:r w:rsidR="006C0A5F">
        <w:rPr>
          <w:rFonts w:ascii="Verdana" w:hAnsi="Verdana"/>
          <w:sz w:val="20"/>
          <w:szCs w:val="20"/>
        </w:rPr>
        <w:t xml:space="preserve"> (Correspondência Interna)</w:t>
      </w:r>
      <w:r w:rsidR="005B2241" w:rsidRPr="006C0A5F">
        <w:rPr>
          <w:rFonts w:ascii="Verdana" w:hAnsi="Verdana"/>
          <w:sz w:val="20"/>
          <w:szCs w:val="20"/>
        </w:rPr>
        <w:t>, e-mail, contato telefônico, dentre outros.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Para solicitações de reserva de á</w:t>
      </w:r>
      <w:r w:rsidR="005508AC" w:rsidRPr="006C0A5F">
        <w:rPr>
          <w:rFonts w:ascii="Verdana" w:hAnsi="Verdana"/>
          <w:sz w:val="20"/>
          <w:szCs w:val="20"/>
        </w:rPr>
        <w:t>reas para Eventos I</w:t>
      </w:r>
      <w:r w:rsidRPr="006C0A5F">
        <w:rPr>
          <w:rFonts w:ascii="Verdana" w:hAnsi="Verdana"/>
          <w:sz w:val="20"/>
          <w:szCs w:val="20"/>
        </w:rPr>
        <w:t>nternos (reuniões, treinamentos, etc.) deverá apresentar estimativa do número de participantes.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lastRenderedPageBreak/>
        <w:t>É desejável que esses eventos tenham um número mínimo de                                          10 (dez) participantes.</w:t>
      </w:r>
    </w:p>
    <w:p w:rsidR="005B2241" w:rsidRPr="006C0A5F" w:rsidRDefault="005B2241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Se houver disponibilidade desejada, a DMV solicita ao Cliente Interno que envie o formulário “Solicitação de Reserva de Áreas Locáveis” devidamente preenchido e aprovado pelo Gestor So</w:t>
      </w:r>
      <w:r w:rsidR="006C0A5F">
        <w:rPr>
          <w:rFonts w:ascii="Verdana" w:hAnsi="Verdana"/>
          <w:sz w:val="20"/>
          <w:szCs w:val="20"/>
        </w:rPr>
        <w:t>licitante - em nível mínimo de G</w:t>
      </w:r>
      <w:r w:rsidRPr="006C0A5F">
        <w:rPr>
          <w:rFonts w:ascii="Verdana" w:hAnsi="Verdana"/>
          <w:sz w:val="20"/>
          <w:szCs w:val="20"/>
        </w:rPr>
        <w:t>erente, em 2(duas) vias, no prazo máximo de 2 (dois) dias úteis.</w:t>
      </w:r>
    </w:p>
    <w:p w:rsidR="005B2241" w:rsidRPr="006C0A5F" w:rsidRDefault="005B2241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A DMV procede ao registro da Reserva na Agenda Anhembi, retém uma via do documento “Solicitação de Reserva de Áreas Locáveis” para seu arquivo e devolve ao Cliente Interno a outra via com sua aprovação.</w:t>
      </w:r>
    </w:p>
    <w:p w:rsidR="005B2241" w:rsidRPr="006C0A5F" w:rsidRDefault="005B2241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A DMV encaminha um e-mail à todas as áreas da SP Turismo confirmando a reserva interna.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Caso haja clientes externos interessados na locação das áreas já reservadas para realização de eventos internos, essa reserva poderá ser transferida para outra área ou até cancelada</w:t>
      </w:r>
      <w:r w:rsidR="005508AC" w:rsidRPr="006C0A5F">
        <w:rPr>
          <w:rFonts w:ascii="Verdana" w:hAnsi="Verdana"/>
          <w:sz w:val="20"/>
          <w:szCs w:val="20"/>
        </w:rPr>
        <w:t>,</w:t>
      </w:r>
      <w:r w:rsidRPr="006C0A5F">
        <w:rPr>
          <w:rFonts w:ascii="Verdana" w:hAnsi="Verdana"/>
          <w:sz w:val="20"/>
          <w:szCs w:val="20"/>
        </w:rPr>
        <w:t xml:space="preserve"> a critério da DMV.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 xml:space="preserve">Nessa hipótese, a DMV deverá apresentar ao Gestor </w:t>
      </w:r>
      <w:r w:rsidR="00D1112C" w:rsidRPr="006C0A5F">
        <w:rPr>
          <w:rFonts w:ascii="Verdana" w:hAnsi="Verdana"/>
          <w:sz w:val="20"/>
          <w:szCs w:val="20"/>
        </w:rPr>
        <w:t>s</w:t>
      </w:r>
      <w:r w:rsidRPr="006C0A5F">
        <w:rPr>
          <w:rFonts w:ascii="Verdana" w:hAnsi="Verdana"/>
          <w:sz w:val="20"/>
          <w:szCs w:val="20"/>
        </w:rPr>
        <w:t>olicitante as justificativas necessárias sobre os motivos da transferência ou cancelamento da reserva.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Caso haja desistência, alteração ou cancelamento do evento objeto da reserva</w:t>
      </w:r>
      <w:r w:rsidR="00D1112C" w:rsidRPr="006C0A5F">
        <w:rPr>
          <w:rFonts w:ascii="Verdana" w:hAnsi="Verdana"/>
          <w:sz w:val="20"/>
          <w:szCs w:val="20"/>
        </w:rPr>
        <w:t>, o Gestor s</w:t>
      </w:r>
      <w:r w:rsidRPr="006C0A5F">
        <w:rPr>
          <w:rFonts w:ascii="Verdana" w:hAnsi="Verdana"/>
          <w:sz w:val="20"/>
          <w:szCs w:val="20"/>
        </w:rPr>
        <w:t>olicitante se obriga a comunicar o fato imediatamente à DMV.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A DMV deverá manter permanentemente atualizados os dados das solicitações de Reserva de Áreas Locáveis.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A confirmação da reserva será registrada pela DMV na “Agenda Anhembi” e deverá ser informada ao Gestor Solicitante em até 2 (dois) dias úteis após o recebimento da respectiva solicitação.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Outros espaços locáveis, já existentes ou a serem criados, terão o mesmo tratamento quanto à reserva de áreas.</w:t>
      </w:r>
    </w:p>
    <w:p w:rsidR="00592FF5" w:rsidRPr="006C0A5F" w:rsidRDefault="005508AC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No caso de Eventos E</w:t>
      </w:r>
      <w:r w:rsidR="00CF7C42" w:rsidRPr="006C0A5F">
        <w:rPr>
          <w:rFonts w:ascii="Verdana" w:hAnsi="Verdana"/>
          <w:sz w:val="20"/>
          <w:szCs w:val="20"/>
        </w:rPr>
        <w:t>xternos</w:t>
      </w:r>
      <w:r w:rsidR="00D1112C" w:rsidRPr="006C0A5F">
        <w:rPr>
          <w:rFonts w:ascii="Verdana" w:hAnsi="Verdana"/>
          <w:sz w:val="20"/>
          <w:szCs w:val="20"/>
        </w:rPr>
        <w:t>,</w:t>
      </w:r>
      <w:r w:rsidR="00CF7C42" w:rsidRPr="006C0A5F">
        <w:rPr>
          <w:rFonts w:ascii="Verdana" w:hAnsi="Verdana"/>
          <w:sz w:val="20"/>
          <w:szCs w:val="20"/>
        </w:rPr>
        <w:t xml:space="preserve"> a confirmação da reserva de área pela DMV não gerará compromisso contratual com a </w:t>
      </w:r>
      <w:r w:rsidR="00F102F3" w:rsidRPr="006C0A5F">
        <w:rPr>
          <w:rFonts w:ascii="Verdana" w:hAnsi="Verdana"/>
          <w:sz w:val="20"/>
          <w:szCs w:val="20"/>
        </w:rPr>
        <w:t>SP Turismo</w:t>
      </w:r>
      <w:r w:rsidR="00CF7C42" w:rsidRPr="006C0A5F">
        <w:rPr>
          <w:rFonts w:ascii="Verdana" w:hAnsi="Verdana"/>
          <w:sz w:val="20"/>
          <w:szCs w:val="20"/>
        </w:rPr>
        <w:t>, o qual se dará somente após a celebração do respectivo contrato.</w:t>
      </w:r>
    </w:p>
    <w:p w:rsidR="0027260C" w:rsidRPr="006C0A5F" w:rsidRDefault="00CF7C42" w:rsidP="002B081D">
      <w:pPr>
        <w:pStyle w:val="ListParagraph"/>
        <w:numPr>
          <w:ilvl w:val="2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Os procedimentos necessários para efetivação de uma reserva compreendem a assinatura do contrato comercial e, no caso de contratos com valor estipulado, a comprovação do pagamento do sinal.</w:t>
      </w:r>
    </w:p>
    <w:p w:rsidR="001C2BB8" w:rsidRPr="002B081D" w:rsidRDefault="00001A9A" w:rsidP="002B081D">
      <w:pPr>
        <w:jc w:val="both"/>
        <w:rPr>
          <w:rFonts w:ascii="Verdana" w:hAnsi="Verdana"/>
          <w:sz w:val="20"/>
          <w:szCs w:val="20"/>
        </w:rPr>
      </w:pPr>
    </w:p>
    <w:p w:rsidR="001C2BB8" w:rsidRPr="006C0A5F" w:rsidRDefault="00CF7C42" w:rsidP="002B081D">
      <w:pPr>
        <w:pStyle w:val="ListParagraph"/>
        <w:numPr>
          <w:ilvl w:val="1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t xml:space="preserve">Reserva para Cliente Externo atendido por qualquer gestor da </w:t>
      </w:r>
      <w:r w:rsidR="00F102F3" w:rsidRPr="006C0A5F">
        <w:rPr>
          <w:rFonts w:ascii="Verdana" w:hAnsi="Verdana"/>
          <w:b/>
          <w:sz w:val="20"/>
          <w:szCs w:val="20"/>
        </w:rPr>
        <w:t>SP Turismo</w:t>
      </w:r>
      <w:r w:rsidRPr="006C0A5F">
        <w:rPr>
          <w:rFonts w:ascii="Verdana" w:hAnsi="Verdana"/>
          <w:b/>
          <w:sz w:val="20"/>
          <w:szCs w:val="20"/>
        </w:rPr>
        <w:t xml:space="preserve">, </w:t>
      </w:r>
      <w:r w:rsidR="000720FC" w:rsidRPr="006C0A5F">
        <w:rPr>
          <w:rFonts w:ascii="Verdana" w:hAnsi="Verdana"/>
          <w:b/>
          <w:sz w:val="20"/>
          <w:szCs w:val="20"/>
        </w:rPr>
        <w:t xml:space="preserve">com ou sem desconto. </w:t>
      </w:r>
      <w:r w:rsidR="001A7017" w:rsidRPr="006C0A5F">
        <w:rPr>
          <w:rFonts w:ascii="Verdana" w:hAnsi="Verdana"/>
          <w:b/>
          <w:sz w:val="20"/>
          <w:szCs w:val="20"/>
        </w:rPr>
        <w:t>(Exemplo: Eventos de Secretaria)</w:t>
      </w:r>
    </w:p>
    <w:p w:rsidR="00592FF5" w:rsidRPr="006C0A5F" w:rsidRDefault="000720FC" w:rsidP="002B081D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O</w:t>
      </w:r>
      <w:r w:rsidR="00CF7C42" w:rsidRPr="006C0A5F">
        <w:rPr>
          <w:rFonts w:ascii="Verdana" w:hAnsi="Verdana"/>
          <w:sz w:val="20"/>
          <w:szCs w:val="20"/>
        </w:rPr>
        <w:t xml:space="preserve"> Gestor Solicitante </w:t>
      </w:r>
      <w:r w:rsidRPr="006C0A5F">
        <w:rPr>
          <w:rFonts w:ascii="Verdana" w:hAnsi="Verdana"/>
          <w:sz w:val="20"/>
          <w:szCs w:val="20"/>
        </w:rPr>
        <w:t>deve verificar junto à DMV, por qualquer meio (CI, e-mail, contato telefônico, etc.) a disponib</w:t>
      </w:r>
      <w:r w:rsidR="00766A71" w:rsidRPr="006C0A5F">
        <w:rPr>
          <w:rFonts w:ascii="Verdana" w:hAnsi="Verdana"/>
          <w:sz w:val="20"/>
          <w:szCs w:val="20"/>
        </w:rPr>
        <w:t>ilidade da área.</w:t>
      </w:r>
      <w:r w:rsidRPr="006C0A5F">
        <w:rPr>
          <w:rFonts w:ascii="Verdana" w:hAnsi="Verdana"/>
          <w:sz w:val="20"/>
          <w:szCs w:val="20"/>
        </w:rPr>
        <w:t xml:space="preserve"> Em haven</w:t>
      </w:r>
      <w:r w:rsidR="009E6651" w:rsidRPr="006C0A5F">
        <w:rPr>
          <w:rFonts w:ascii="Verdana" w:hAnsi="Verdana"/>
          <w:sz w:val="20"/>
          <w:szCs w:val="20"/>
        </w:rPr>
        <w:t xml:space="preserve">do a referida disponibilidade, </w:t>
      </w:r>
      <w:r w:rsidRPr="006C0A5F">
        <w:rPr>
          <w:rFonts w:ascii="Verdana" w:hAnsi="Verdana"/>
          <w:sz w:val="20"/>
          <w:szCs w:val="20"/>
        </w:rPr>
        <w:t xml:space="preserve">o gestor solicitante </w:t>
      </w:r>
      <w:r w:rsidR="00CF7C42" w:rsidRPr="006C0A5F">
        <w:rPr>
          <w:rFonts w:ascii="Verdana" w:hAnsi="Verdana"/>
          <w:sz w:val="20"/>
          <w:szCs w:val="20"/>
        </w:rPr>
        <w:t xml:space="preserve">deve preencher o formulário </w:t>
      </w:r>
      <w:r w:rsidRPr="006C0A5F">
        <w:rPr>
          <w:rFonts w:ascii="Verdana" w:hAnsi="Verdana"/>
          <w:sz w:val="20"/>
          <w:szCs w:val="20"/>
        </w:rPr>
        <w:t xml:space="preserve">“Solicitação de Reserva de Áreas Locáveis” </w:t>
      </w:r>
      <w:r w:rsidR="00CF7C42" w:rsidRPr="006C0A5F">
        <w:rPr>
          <w:rFonts w:ascii="Verdana" w:hAnsi="Verdana"/>
          <w:sz w:val="20"/>
          <w:szCs w:val="20"/>
        </w:rPr>
        <w:t>para garantia da reserva da área, com a assinatura do Diretor da Área Solicitante</w:t>
      </w:r>
      <w:r w:rsidR="00F102F3" w:rsidRPr="006C0A5F">
        <w:rPr>
          <w:rFonts w:ascii="Verdana" w:hAnsi="Verdana"/>
          <w:sz w:val="20"/>
          <w:szCs w:val="20"/>
        </w:rPr>
        <w:t>.</w:t>
      </w:r>
    </w:p>
    <w:p w:rsidR="001A7017" w:rsidRPr="006C0A5F" w:rsidRDefault="001A7017" w:rsidP="002B081D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 xml:space="preserve">A DMV procede ao registro da Reserva na Agenda Anhembi, retém uma via do documento “Solicitação de Reserva de Áreas Locáveis” para seu arquivo e devolve ao Cliente Interno a outra via com sua aprovação juntamente com o orçamento da área solicitada. </w:t>
      </w:r>
    </w:p>
    <w:p w:rsidR="001A7017" w:rsidRPr="006C0A5F" w:rsidRDefault="001A7017" w:rsidP="002B081D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 xml:space="preserve">A DMV encaminha um e-mail à todas as áreas da </w:t>
      </w:r>
      <w:r w:rsidR="00F102F3" w:rsidRPr="006C0A5F">
        <w:rPr>
          <w:rFonts w:ascii="Verdana" w:hAnsi="Verdana"/>
          <w:sz w:val="20"/>
          <w:szCs w:val="20"/>
        </w:rPr>
        <w:t>SP Turismo</w:t>
      </w:r>
      <w:r w:rsidRPr="006C0A5F">
        <w:rPr>
          <w:rFonts w:ascii="Verdana" w:hAnsi="Verdana"/>
          <w:sz w:val="20"/>
          <w:szCs w:val="20"/>
        </w:rPr>
        <w:t xml:space="preserve"> informando a reserva solicitada</w:t>
      </w:r>
      <w:r w:rsidR="00F102F3" w:rsidRPr="006C0A5F">
        <w:rPr>
          <w:rFonts w:ascii="Verdana" w:hAnsi="Verdana"/>
          <w:sz w:val="20"/>
          <w:szCs w:val="20"/>
        </w:rPr>
        <w:t>.</w:t>
      </w:r>
      <w:r w:rsidRPr="006C0A5F">
        <w:rPr>
          <w:rFonts w:ascii="Verdana" w:hAnsi="Verdana"/>
          <w:sz w:val="20"/>
          <w:szCs w:val="20"/>
        </w:rPr>
        <w:t xml:space="preserve"> </w:t>
      </w:r>
      <w:r w:rsidR="009E6651" w:rsidRPr="006C0A5F">
        <w:rPr>
          <w:rFonts w:ascii="Verdana" w:hAnsi="Verdana"/>
          <w:sz w:val="20"/>
          <w:szCs w:val="20"/>
        </w:rPr>
        <w:t xml:space="preserve"> </w:t>
      </w:r>
    </w:p>
    <w:p w:rsidR="005A2C9C" w:rsidRPr="006C0A5F" w:rsidRDefault="001A7017" w:rsidP="002B081D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 xml:space="preserve">A DMV manterá a reserva na agenda de eventos do Anhembi devendo o Gestor Solicitante informar a modelagem contratual que será utilizada para esse evento fornecendo </w:t>
      </w:r>
      <w:r w:rsidR="00766A71" w:rsidRPr="006C0A5F">
        <w:rPr>
          <w:rFonts w:ascii="Verdana" w:hAnsi="Verdana"/>
          <w:sz w:val="20"/>
          <w:szCs w:val="20"/>
        </w:rPr>
        <w:t xml:space="preserve">o </w:t>
      </w:r>
      <w:r w:rsidRPr="006C0A5F">
        <w:rPr>
          <w:rFonts w:ascii="Verdana" w:hAnsi="Verdana"/>
          <w:sz w:val="20"/>
          <w:szCs w:val="20"/>
        </w:rPr>
        <w:t xml:space="preserve">número de contrato </w:t>
      </w:r>
      <w:r w:rsidR="00F102F3" w:rsidRPr="006C0A5F">
        <w:rPr>
          <w:rFonts w:ascii="Verdana" w:hAnsi="Verdana"/>
          <w:sz w:val="20"/>
          <w:szCs w:val="20"/>
        </w:rPr>
        <w:t>de S</w:t>
      </w:r>
      <w:r w:rsidR="00766A71" w:rsidRPr="006C0A5F">
        <w:rPr>
          <w:rFonts w:ascii="Verdana" w:hAnsi="Verdana"/>
          <w:sz w:val="20"/>
          <w:szCs w:val="20"/>
        </w:rPr>
        <w:t xml:space="preserve">ecretaria que abarcará o evento. </w:t>
      </w:r>
    </w:p>
    <w:p w:rsidR="00267850" w:rsidRPr="006C0A5F" w:rsidRDefault="00267850" w:rsidP="002B081D">
      <w:pPr>
        <w:pStyle w:val="ListParagraph"/>
        <w:ind w:left="1080"/>
        <w:jc w:val="both"/>
        <w:rPr>
          <w:rFonts w:ascii="Verdana" w:hAnsi="Verdana"/>
          <w:sz w:val="20"/>
          <w:szCs w:val="20"/>
        </w:rPr>
      </w:pPr>
    </w:p>
    <w:p w:rsidR="00184786" w:rsidRPr="006C0A5F" w:rsidRDefault="00CF7C42" w:rsidP="002B081D">
      <w:pPr>
        <w:pStyle w:val="ListParagraph"/>
        <w:numPr>
          <w:ilvl w:val="1"/>
          <w:numId w:val="2"/>
        </w:numPr>
        <w:ind w:hanging="1004"/>
        <w:jc w:val="both"/>
        <w:rPr>
          <w:rFonts w:ascii="Verdana" w:hAnsi="Verdana"/>
          <w:b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lastRenderedPageBreak/>
        <w:t>Competências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t>Gestor Solicitante:</w:t>
      </w:r>
      <w:r w:rsidRPr="006C0A5F">
        <w:rPr>
          <w:rFonts w:ascii="Verdana" w:hAnsi="Verdana"/>
          <w:sz w:val="20"/>
          <w:szCs w:val="20"/>
        </w:rPr>
        <w:t xml:space="preserve"> O Gerente da área solicitante deverá aprovar a solicitação de reserva de área para eventos internos.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t>Diretor Solicitante:</w:t>
      </w:r>
      <w:r w:rsidR="00C46C37" w:rsidRPr="006C0A5F">
        <w:rPr>
          <w:rFonts w:ascii="Verdana" w:hAnsi="Verdana"/>
          <w:sz w:val="20"/>
          <w:szCs w:val="20"/>
        </w:rPr>
        <w:t xml:space="preserve"> Assinar o formulário de reserv</w:t>
      </w:r>
      <w:r w:rsidRPr="006C0A5F">
        <w:rPr>
          <w:rFonts w:ascii="Verdana" w:hAnsi="Verdana"/>
          <w:sz w:val="20"/>
          <w:szCs w:val="20"/>
        </w:rPr>
        <w:t xml:space="preserve">as </w:t>
      </w:r>
      <w:r w:rsidR="00766A71" w:rsidRPr="006C0A5F">
        <w:rPr>
          <w:rFonts w:ascii="Verdana" w:hAnsi="Verdana"/>
          <w:sz w:val="20"/>
          <w:szCs w:val="20"/>
        </w:rPr>
        <w:t>de áreas locáveis para clientes externos</w:t>
      </w:r>
      <w:r w:rsidR="00F102F3" w:rsidRPr="006C0A5F">
        <w:rPr>
          <w:rFonts w:ascii="Verdana" w:hAnsi="Verdana"/>
          <w:sz w:val="20"/>
          <w:szCs w:val="20"/>
        </w:rPr>
        <w:t>.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Aprova a solicitação de reserva de área para solicitações de clientes externos no caso de descontos não comerciais ou comodatos</w:t>
      </w:r>
      <w:r w:rsidR="00F102F3" w:rsidRPr="006C0A5F">
        <w:rPr>
          <w:rFonts w:ascii="Verdana" w:hAnsi="Verdana"/>
          <w:sz w:val="20"/>
          <w:szCs w:val="20"/>
        </w:rPr>
        <w:t>.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Assinar os contratos sem ônus juntamente com o Presidente.</w:t>
      </w:r>
    </w:p>
    <w:p w:rsidR="00592FF5" w:rsidRPr="006C0A5F" w:rsidRDefault="00CF7C42" w:rsidP="002B081D">
      <w:pPr>
        <w:pStyle w:val="ListParagraph"/>
        <w:numPr>
          <w:ilvl w:val="2"/>
          <w:numId w:val="2"/>
        </w:numPr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t xml:space="preserve">DMV – Diretoria de Marketing e Vendas: </w:t>
      </w:r>
      <w:r w:rsidR="00766A71" w:rsidRPr="006C0A5F">
        <w:rPr>
          <w:rFonts w:ascii="Verdana" w:hAnsi="Verdana"/>
          <w:sz w:val="20"/>
          <w:szCs w:val="20"/>
        </w:rPr>
        <w:t xml:space="preserve">Controle e registro interno da disponibilidade de data. </w:t>
      </w:r>
    </w:p>
    <w:p w:rsidR="00766A71" w:rsidRPr="002B081D" w:rsidRDefault="00766A71" w:rsidP="002B081D">
      <w:pPr>
        <w:jc w:val="both"/>
        <w:rPr>
          <w:rFonts w:ascii="Verdana" w:hAnsi="Verdana"/>
          <w:sz w:val="20"/>
          <w:szCs w:val="20"/>
        </w:rPr>
      </w:pPr>
    </w:p>
    <w:p w:rsidR="006D19C1" w:rsidRPr="006C0A5F" w:rsidRDefault="00CF7C42" w:rsidP="002B081D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t>Penalidades</w:t>
      </w:r>
    </w:p>
    <w:p w:rsidR="006D19C1" w:rsidRPr="006C0A5F" w:rsidRDefault="00CF7C42" w:rsidP="002B081D">
      <w:pPr>
        <w:pStyle w:val="ListParagraph"/>
        <w:numPr>
          <w:ilvl w:val="1"/>
          <w:numId w:val="2"/>
        </w:numPr>
        <w:ind w:left="-284" w:hanging="11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 xml:space="preserve">Todos os colaboradores estarão sujeitos às penalidades das normas disciplinares da </w:t>
      </w:r>
      <w:r w:rsidR="00F102F3" w:rsidRPr="006C0A5F">
        <w:rPr>
          <w:rFonts w:ascii="Verdana" w:hAnsi="Verdana"/>
          <w:sz w:val="20"/>
          <w:szCs w:val="20"/>
        </w:rPr>
        <w:t>SP Turismo</w:t>
      </w:r>
      <w:r w:rsidRPr="006C0A5F">
        <w:rPr>
          <w:rFonts w:ascii="Verdana" w:hAnsi="Verdana"/>
          <w:sz w:val="20"/>
          <w:szCs w:val="20"/>
        </w:rPr>
        <w:t xml:space="preserve">, em especial a </w:t>
      </w:r>
      <w:r w:rsidR="00D576C2">
        <w:rPr>
          <w:rFonts w:ascii="Verdana" w:hAnsi="Verdana"/>
          <w:b/>
          <w:sz w:val="20"/>
          <w:szCs w:val="20"/>
        </w:rPr>
        <w:t>NG GRH 07</w:t>
      </w:r>
      <w:r w:rsidRPr="006C0A5F">
        <w:rPr>
          <w:rFonts w:ascii="Verdana" w:hAnsi="Verdana"/>
          <w:b/>
          <w:sz w:val="20"/>
          <w:szCs w:val="20"/>
        </w:rPr>
        <w:t xml:space="preserve"> - Conduta Funcional</w:t>
      </w:r>
      <w:r w:rsidRPr="006C0A5F">
        <w:rPr>
          <w:rFonts w:ascii="Verdana" w:hAnsi="Verdana"/>
          <w:sz w:val="20"/>
          <w:szCs w:val="20"/>
        </w:rPr>
        <w:t>, no caso de descumprimento desta Norma.</w:t>
      </w:r>
    </w:p>
    <w:p w:rsidR="006D19C1" w:rsidRPr="002B081D" w:rsidRDefault="00001A9A" w:rsidP="002B081D">
      <w:pPr>
        <w:jc w:val="both"/>
        <w:rPr>
          <w:rFonts w:ascii="Verdana" w:hAnsi="Verdana"/>
          <w:b/>
          <w:sz w:val="20"/>
          <w:szCs w:val="20"/>
        </w:rPr>
      </w:pPr>
    </w:p>
    <w:p w:rsidR="006D19C1" w:rsidRPr="006C0A5F" w:rsidRDefault="00CF7C42" w:rsidP="002B081D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t xml:space="preserve">Legislação básica </w:t>
      </w:r>
    </w:p>
    <w:p w:rsidR="000C5540" w:rsidRPr="006C0A5F" w:rsidRDefault="00CF7C42" w:rsidP="002B081D">
      <w:pPr>
        <w:pStyle w:val="ListParagraph"/>
        <w:numPr>
          <w:ilvl w:val="1"/>
          <w:numId w:val="2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6C0A5F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</w:p>
    <w:p w:rsidR="000C5540" w:rsidRPr="006C0A5F" w:rsidRDefault="00001A9A" w:rsidP="002B081D">
      <w:pPr>
        <w:ind w:right="99"/>
        <w:jc w:val="both"/>
        <w:rPr>
          <w:rFonts w:ascii="Verdana" w:hAnsi="Verdana"/>
          <w:sz w:val="20"/>
          <w:szCs w:val="20"/>
        </w:rPr>
      </w:pPr>
    </w:p>
    <w:p w:rsidR="006D19C1" w:rsidRPr="006C0A5F" w:rsidRDefault="00CF7C42" w:rsidP="002B081D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t>Anexos</w:t>
      </w:r>
    </w:p>
    <w:p w:rsidR="00EA5469" w:rsidRPr="006C0A5F" w:rsidRDefault="00CF7C42" w:rsidP="002B081D">
      <w:pPr>
        <w:pStyle w:val="ListParagraph"/>
        <w:numPr>
          <w:ilvl w:val="1"/>
          <w:numId w:val="2"/>
        </w:numPr>
        <w:ind w:left="426"/>
        <w:jc w:val="both"/>
        <w:rPr>
          <w:rFonts w:ascii="Verdana" w:hAnsi="Verdana"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Não existem anexos referentes a esta Norma.</w:t>
      </w:r>
    </w:p>
    <w:p w:rsidR="006D19C1" w:rsidRPr="006C0A5F" w:rsidRDefault="00001A9A" w:rsidP="002B081D">
      <w:pPr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6D19C1" w:rsidRPr="006C0A5F" w:rsidRDefault="00CF7C42" w:rsidP="002B081D">
      <w:pPr>
        <w:pStyle w:val="ListParagraph"/>
        <w:numPr>
          <w:ilvl w:val="0"/>
          <w:numId w:val="2"/>
        </w:numPr>
        <w:ind w:left="-284" w:firstLine="0"/>
        <w:jc w:val="both"/>
        <w:rPr>
          <w:rFonts w:ascii="Verdana" w:hAnsi="Verdana"/>
          <w:b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t>Revisões</w:t>
      </w:r>
    </w:p>
    <w:p w:rsidR="002F36BF" w:rsidRPr="006C0A5F" w:rsidRDefault="00CF7C42" w:rsidP="002B081D">
      <w:pPr>
        <w:pStyle w:val="ListParagraph"/>
        <w:numPr>
          <w:ilvl w:val="1"/>
          <w:numId w:val="2"/>
        </w:numPr>
        <w:ind w:left="-284" w:hanging="11"/>
        <w:jc w:val="both"/>
        <w:rPr>
          <w:rFonts w:ascii="Verdana" w:hAnsi="Verdana"/>
          <w:b/>
          <w:sz w:val="20"/>
          <w:szCs w:val="20"/>
        </w:rPr>
      </w:pPr>
      <w:r w:rsidRPr="006C0A5F">
        <w:rPr>
          <w:rFonts w:ascii="Verdana" w:hAnsi="Verdana"/>
          <w:sz w:val="20"/>
          <w:szCs w:val="20"/>
        </w:rPr>
        <w:t>Anualmente, as definições e diretrizes desta norma devem ser revisadas e aprovadas pela</w:t>
      </w:r>
      <w:r w:rsidR="00306EFE">
        <w:rPr>
          <w:rFonts w:ascii="Verdana" w:hAnsi="Verdana"/>
          <w:sz w:val="20"/>
          <w:szCs w:val="20"/>
        </w:rPr>
        <w:t xml:space="preserve"> GVM (Gerência de Vendas, Planejamento e Marketing) e</w:t>
      </w:r>
      <w:r w:rsidRPr="006C0A5F">
        <w:rPr>
          <w:rFonts w:ascii="Verdana" w:hAnsi="Verdana"/>
          <w:sz w:val="20"/>
          <w:szCs w:val="20"/>
        </w:rPr>
        <w:t xml:space="preserve"> DMV (Diretoria de Vendas e Marketing).</w:t>
      </w:r>
    </w:p>
    <w:p w:rsidR="005B2241" w:rsidRPr="006C0A5F" w:rsidRDefault="005B2241" w:rsidP="002B081D">
      <w:pPr>
        <w:jc w:val="both"/>
        <w:rPr>
          <w:rFonts w:ascii="Verdana" w:hAnsi="Verdana"/>
          <w:b/>
          <w:sz w:val="20"/>
          <w:szCs w:val="20"/>
        </w:rPr>
      </w:pPr>
    </w:p>
    <w:p w:rsidR="006D19C1" w:rsidRPr="006C0A5F" w:rsidRDefault="00CF7C42" w:rsidP="002B081D">
      <w:pPr>
        <w:pStyle w:val="ListParagraph"/>
        <w:numPr>
          <w:ilvl w:val="0"/>
          <w:numId w:val="2"/>
        </w:numPr>
        <w:ind w:left="142"/>
        <w:jc w:val="both"/>
        <w:rPr>
          <w:rFonts w:ascii="Verdana" w:hAnsi="Verdana"/>
          <w:b/>
          <w:sz w:val="20"/>
          <w:szCs w:val="20"/>
        </w:rPr>
      </w:pPr>
      <w:r w:rsidRPr="006C0A5F">
        <w:rPr>
          <w:rFonts w:ascii="Verdana" w:hAnsi="Verdana"/>
          <w:b/>
          <w:sz w:val="20"/>
          <w:szCs w:val="20"/>
        </w:rPr>
        <w:t>Histórico de alterações</w:t>
      </w:r>
    </w:p>
    <w:p w:rsidR="006D19C1" w:rsidRPr="006C0A5F" w:rsidRDefault="00001A9A" w:rsidP="002B081D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923" w:type="dxa"/>
        <w:tblInd w:w="-176" w:type="dxa"/>
        <w:tblLook w:val="01E0" w:firstRow="1" w:lastRow="1" w:firstColumn="1" w:lastColumn="1" w:noHBand="0" w:noVBand="0"/>
      </w:tblPr>
      <w:tblGrid>
        <w:gridCol w:w="1156"/>
        <w:gridCol w:w="1168"/>
        <w:gridCol w:w="1352"/>
        <w:gridCol w:w="2278"/>
        <w:gridCol w:w="3969"/>
      </w:tblGrid>
      <w:tr w:rsidR="006D19C1" w:rsidRPr="006C0A5F" w:rsidTr="002B081D">
        <w:trPr>
          <w:trHeight w:val="230"/>
        </w:trPr>
        <w:tc>
          <w:tcPr>
            <w:tcW w:w="1156" w:type="dxa"/>
            <w:vMerge w:val="restart"/>
            <w:shd w:val="clear" w:color="auto" w:fill="C0C0C0"/>
            <w:vAlign w:val="center"/>
          </w:tcPr>
          <w:p w:rsidR="006D19C1" w:rsidRPr="006C0A5F" w:rsidRDefault="00CF7C42" w:rsidP="002B081D">
            <w:pPr>
              <w:ind w:left="-57" w:right="-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C0A5F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6C0A5F" w:rsidRDefault="00CF7C42" w:rsidP="002B081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C0A5F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278" w:type="dxa"/>
            <w:vMerge w:val="restart"/>
            <w:shd w:val="clear" w:color="auto" w:fill="C0C0C0"/>
            <w:vAlign w:val="center"/>
          </w:tcPr>
          <w:p w:rsidR="006D19C1" w:rsidRPr="006C0A5F" w:rsidRDefault="00CF7C42" w:rsidP="002B081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C0A5F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969" w:type="dxa"/>
            <w:vMerge w:val="restart"/>
            <w:shd w:val="clear" w:color="auto" w:fill="C0C0C0"/>
            <w:vAlign w:val="center"/>
          </w:tcPr>
          <w:p w:rsidR="006D19C1" w:rsidRPr="006C0A5F" w:rsidRDefault="00F102F3" w:rsidP="002B081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C0A5F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CF7C42" w:rsidRPr="006C0A5F">
              <w:rPr>
                <w:rFonts w:ascii="Verdana" w:hAnsi="Verdana"/>
                <w:b/>
                <w:sz w:val="20"/>
                <w:szCs w:val="20"/>
              </w:rPr>
              <w:t>/ Aprovadores</w:t>
            </w:r>
          </w:p>
        </w:tc>
      </w:tr>
      <w:tr w:rsidR="006D19C1" w:rsidRPr="006C0A5F" w:rsidTr="002B081D">
        <w:trPr>
          <w:trHeight w:val="184"/>
        </w:trPr>
        <w:tc>
          <w:tcPr>
            <w:tcW w:w="1156" w:type="dxa"/>
            <w:vMerge/>
          </w:tcPr>
          <w:p w:rsidR="00724F4B" w:rsidRPr="006C0A5F" w:rsidRDefault="00724F4B" w:rsidP="002B081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6C0A5F" w:rsidRDefault="00CF7C42" w:rsidP="002B081D">
            <w:pPr>
              <w:ind w:left="-57" w:right="-57"/>
              <w:jc w:val="both"/>
              <w:rPr>
                <w:rFonts w:ascii="Verdana" w:hAnsi="Verdana"/>
                <w:sz w:val="20"/>
                <w:szCs w:val="20"/>
              </w:rPr>
            </w:pPr>
            <w:r w:rsidRPr="006C0A5F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6C0A5F" w:rsidRDefault="00CF7C42" w:rsidP="002B081D">
            <w:pPr>
              <w:ind w:left="-57" w:right="-57"/>
              <w:jc w:val="both"/>
              <w:rPr>
                <w:rFonts w:ascii="Verdana" w:hAnsi="Verdana"/>
                <w:sz w:val="20"/>
                <w:szCs w:val="20"/>
              </w:rPr>
            </w:pPr>
            <w:r w:rsidRPr="006C0A5F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2278" w:type="dxa"/>
            <w:vMerge/>
          </w:tcPr>
          <w:p w:rsidR="00724F4B" w:rsidRPr="006C0A5F" w:rsidRDefault="00724F4B" w:rsidP="002B081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24F4B" w:rsidRPr="006C0A5F" w:rsidRDefault="00724F4B" w:rsidP="002B081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6C0A5F" w:rsidTr="002B081D">
        <w:trPr>
          <w:trHeight w:val="288"/>
        </w:trPr>
        <w:tc>
          <w:tcPr>
            <w:tcW w:w="1156" w:type="dxa"/>
            <w:vAlign w:val="center"/>
          </w:tcPr>
          <w:p w:rsidR="006D19C1" w:rsidRPr="006C0A5F" w:rsidRDefault="00CF7C42" w:rsidP="002B081D">
            <w:pPr>
              <w:spacing w:before="40"/>
              <w:ind w:left="-57" w:right="-57"/>
              <w:jc w:val="both"/>
              <w:rPr>
                <w:rFonts w:ascii="Verdana" w:hAnsi="Verdana"/>
                <w:sz w:val="20"/>
                <w:szCs w:val="20"/>
              </w:rPr>
            </w:pPr>
            <w:r w:rsidRPr="006C0A5F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168" w:type="dxa"/>
            <w:vAlign w:val="center"/>
          </w:tcPr>
          <w:p w:rsidR="006D19C1" w:rsidRPr="006C0A5F" w:rsidRDefault="00001A9A" w:rsidP="002B081D">
            <w:pPr>
              <w:spacing w:before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6D19C1" w:rsidRPr="006C0A5F" w:rsidRDefault="00001A9A" w:rsidP="002B081D">
            <w:pPr>
              <w:spacing w:before="40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78" w:type="dxa"/>
            <w:vAlign w:val="center"/>
          </w:tcPr>
          <w:p w:rsidR="006D19C1" w:rsidRPr="006C0A5F" w:rsidRDefault="00D576C2" w:rsidP="002B081D">
            <w:pPr>
              <w:spacing w:before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5" w:rsidRPr="006C0A5F" w:rsidRDefault="00306EFE" w:rsidP="002B081D">
            <w:pPr>
              <w:spacing w:before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GVM: </w:t>
            </w:r>
            <w:r w:rsidR="00D576C2">
              <w:rPr>
                <w:rFonts w:ascii="Verdana" w:hAnsi="Verdana"/>
                <w:sz w:val="20"/>
                <w:szCs w:val="20"/>
              </w:rPr>
              <w:t xml:space="preserve">Rosangela Nascimento </w:t>
            </w:r>
          </w:p>
          <w:p w:rsidR="006D19C1" w:rsidRPr="006C0A5F" w:rsidRDefault="00001A9A" w:rsidP="002B081D">
            <w:pPr>
              <w:spacing w:before="40"/>
              <w:ind w:left="17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19C1" w:rsidRPr="006C0A5F" w:rsidRDefault="00001A9A" w:rsidP="002B081D">
      <w:pPr>
        <w:jc w:val="both"/>
        <w:rPr>
          <w:rFonts w:ascii="Verdana" w:hAnsi="Verdana"/>
          <w:sz w:val="20"/>
          <w:szCs w:val="20"/>
        </w:rPr>
      </w:pPr>
    </w:p>
    <w:p w:rsidR="00592561" w:rsidRPr="006C0A5F" w:rsidRDefault="00001A9A" w:rsidP="002B081D">
      <w:pPr>
        <w:jc w:val="both"/>
        <w:rPr>
          <w:rFonts w:ascii="Verdana" w:hAnsi="Verdana"/>
          <w:sz w:val="20"/>
          <w:szCs w:val="20"/>
        </w:rPr>
      </w:pPr>
    </w:p>
    <w:sectPr w:rsidR="00592561" w:rsidRPr="006C0A5F" w:rsidSect="00F1744B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pgNumType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9A" w:rsidRDefault="00001A9A">
      <w:r>
        <w:separator/>
      </w:r>
    </w:p>
  </w:endnote>
  <w:endnote w:type="continuationSeparator" w:id="0">
    <w:p w:rsidR="00001A9A" w:rsidRDefault="0000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CF7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001A9A">
    <w:pPr>
      <w:pStyle w:val="Footer"/>
      <w:ind w:right="360"/>
    </w:pPr>
  </w:p>
  <w:p w:rsidR="006B678E" w:rsidRDefault="00001A9A" w:rsidP="006B678E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CF7C42" w:rsidP="0036200A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 w:rsidR="0036200A">
            <w:rPr>
              <w:rFonts w:ascii="Verdana" w:hAnsi="Verdana"/>
              <w:i/>
              <w:sz w:val="16"/>
              <w:szCs w:val="16"/>
            </w:rPr>
            <w:t xml:space="preserve">ação </w:t>
          </w:r>
          <w:r>
            <w:rPr>
              <w:rFonts w:ascii="Verdana" w:hAnsi="Verdana"/>
              <w:i/>
              <w:sz w:val="16"/>
              <w:szCs w:val="16"/>
            </w:rPr>
            <w:t xml:space="preserve">da </w:t>
          </w:r>
          <w:r w:rsidR="00F102F3">
            <w:rPr>
              <w:rFonts w:ascii="Verdana" w:hAnsi="Verdana"/>
              <w:i/>
              <w:sz w:val="16"/>
              <w:szCs w:val="16"/>
            </w:rPr>
            <w:t>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CF7C42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345019">
      <w:rPr>
        <w:rStyle w:val="PageNumber"/>
        <w:rFonts w:ascii="Verdana" w:hAnsi="Verdana"/>
        <w:noProof/>
        <w:sz w:val="18"/>
      </w:rPr>
      <w:t>169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001A9A">
    <w:pPr>
      <w:pStyle w:val="Footer"/>
      <w:ind w:right="360"/>
    </w:pPr>
  </w:p>
  <w:p w:rsidR="006B678E" w:rsidRDefault="00001A9A" w:rsidP="006B678E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E" w:rsidRDefault="00001A9A">
    <w:pPr>
      <w:pStyle w:val="Footer"/>
    </w:pPr>
  </w:p>
  <w:p w:rsidR="006B678E" w:rsidRDefault="00001A9A" w:rsidP="006B678E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9A" w:rsidRDefault="00001A9A">
      <w:r>
        <w:separator/>
      </w:r>
    </w:p>
  </w:footnote>
  <w:footnote w:type="continuationSeparator" w:id="0">
    <w:p w:rsidR="00001A9A" w:rsidRDefault="0000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CF7C42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 wp14:anchorId="26FA7F08" wp14:editId="72E8199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Pr="00F33200" w:rsidRDefault="00CF7C42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 w:rsidRPr="00F33200">
            <w:rPr>
              <w:b/>
              <w:sz w:val="24"/>
            </w:rPr>
            <w:t>Manual de Normas e Procedimentos</w:t>
          </w:r>
        </w:p>
        <w:p w:rsidR="00751D5B" w:rsidRPr="00F33200" w:rsidRDefault="00CF7C42" w:rsidP="00E7790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 w:rsidRPr="00F33200">
            <w:rPr>
              <w:rFonts w:ascii="Arial" w:hAnsi="Arial" w:cs="Arial"/>
            </w:rPr>
            <w:t>Res</w:t>
          </w:r>
          <w:r w:rsidR="000720FC">
            <w:rPr>
              <w:rFonts w:ascii="Arial" w:hAnsi="Arial" w:cs="Arial"/>
            </w:rPr>
            <w:t xml:space="preserve">erva de áreas locáveis </w:t>
          </w:r>
        </w:p>
      </w:tc>
      <w:tc>
        <w:tcPr>
          <w:tcW w:w="1843" w:type="dxa"/>
        </w:tcPr>
        <w:p w:rsidR="003D67B9" w:rsidRPr="00F33200" w:rsidRDefault="00CF7C42" w:rsidP="00E54DF8">
          <w:pPr>
            <w:pStyle w:val="Header"/>
            <w:spacing w:before="0" w:after="0"/>
            <w:jc w:val="left"/>
          </w:pPr>
          <w:r w:rsidRPr="00F33200">
            <w:rPr>
              <w:b/>
            </w:rPr>
            <w:t>Nº:</w:t>
          </w:r>
          <w:r w:rsidRPr="00F33200">
            <w:rPr>
              <w:b/>
            </w:rPr>
            <w:br/>
          </w:r>
          <w:r w:rsidR="00306EFE">
            <w:t>NG GVM</w:t>
          </w:r>
          <w:r w:rsidR="00196884">
            <w:t xml:space="preserve"> 02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001A9A">
          <w:pPr>
            <w:pStyle w:val="Header"/>
          </w:pPr>
        </w:p>
      </w:tc>
      <w:tc>
        <w:tcPr>
          <w:tcW w:w="1854" w:type="dxa"/>
        </w:tcPr>
        <w:p w:rsidR="003D67B9" w:rsidRPr="00F33200" w:rsidRDefault="00CF7C42" w:rsidP="00063CB5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F33200">
            <w:rPr>
              <w:b/>
              <w:sz w:val="16"/>
            </w:rPr>
            <w:t>Data elaboração:</w:t>
          </w:r>
          <w:r w:rsidRPr="00F33200">
            <w:rPr>
              <w:b/>
              <w:sz w:val="16"/>
            </w:rPr>
            <w:br/>
          </w:r>
          <w:r w:rsidR="00345019">
            <w:rPr>
              <w:sz w:val="16"/>
            </w:rPr>
            <w:t>08/12</w:t>
          </w:r>
          <w:r w:rsidRPr="00F33200">
            <w:rPr>
              <w:sz w:val="16"/>
            </w:rPr>
            <w:t>/</w:t>
          </w:r>
          <w:r w:rsidR="00345019">
            <w:rPr>
              <w:sz w:val="16"/>
            </w:rPr>
            <w:t>20</w:t>
          </w:r>
          <w:r w:rsidRPr="00F33200"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F33200" w:rsidRDefault="00CF7C42" w:rsidP="00BC74EB">
          <w:pPr>
            <w:pStyle w:val="Header"/>
            <w:spacing w:before="0" w:after="0"/>
            <w:rPr>
              <w:b/>
              <w:sz w:val="16"/>
            </w:rPr>
          </w:pPr>
          <w:r w:rsidRPr="00F33200">
            <w:rPr>
              <w:b/>
              <w:sz w:val="16"/>
            </w:rPr>
            <w:t>Versão:</w:t>
          </w:r>
          <w:r w:rsidRPr="00F33200">
            <w:rPr>
              <w:b/>
              <w:sz w:val="16"/>
            </w:rPr>
            <w:br/>
          </w:r>
          <w:r w:rsidRPr="00F33200">
            <w:rPr>
              <w:sz w:val="16"/>
            </w:rPr>
            <w:t>1.0</w:t>
          </w:r>
        </w:p>
      </w:tc>
      <w:tc>
        <w:tcPr>
          <w:tcW w:w="1794" w:type="dxa"/>
        </w:tcPr>
        <w:p w:rsidR="003D67B9" w:rsidRPr="00F33200" w:rsidRDefault="00CF7C42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F33200">
            <w:rPr>
              <w:b/>
              <w:sz w:val="16"/>
            </w:rPr>
            <w:t>Autor:</w:t>
          </w:r>
          <w:r w:rsidRPr="00F33200">
            <w:rPr>
              <w:b/>
              <w:sz w:val="16"/>
            </w:rPr>
            <w:br/>
          </w:r>
          <w:r w:rsidRPr="00F33200"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F33200" w:rsidRDefault="00CF7C42" w:rsidP="00733F4D">
          <w:pPr>
            <w:pStyle w:val="Header"/>
            <w:spacing w:before="0" w:after="0"/>
            <w:jc w:val="left"/>
            <w:rPr>
              <w:sz w:val="16"/>
            </w:rPr>
          </w:pPr>
          <w:r w:rsidRPr="00F33200">
            <w:rPr>
              <w:b/>
              <w:sz w:val="16"/>
            </w:rPr>
            <w:t>Revisado por:</w:t>
          </w:r>
          <w:r w:rsidRPr="00F33200">
            <w:rPr>
              <w:b/>
              <w:sz w:val="16"/>
            </w:rPr>
            <w:br/>
          </w:r>
          <w:r>
            <w:rPr>
              <w:sz w:val="16"/>
            </w:rPr>
            <w:t>Rosangela Nascimento</w:t>
          </w:r>
        </w:p>
      </w:tc>
      <w:tc>
        <w:tcPr>
          <w:tcW w:w="1843" w:type="dxa"/>
        </w:tcPr>
        <w:p w:rsidR="00D81AAD" w:rsidRPr="00F33200" w:rsidRDefault="00CF7C42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F33200">
            <w:rPr>
              <w:b/>
              <w:sz w:val="16"/>
            </w:rPr>
            <w:t>Última revisão:</w:t>
          </w:r>
        </w:p>
        <w:p w:rsidR="003D67B9" w:rsidRPr="00F33200" w:rsidRDefault="00345019" w:rsidP="00733F4D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CF7C42">
            <w:rPr>
              <w:sz w:val="16"/>
            </w:rPr>
            <w:t>/2017</w:t>
          </w:r>
        </w:p>
      </w:tc>
    </w:tr>
  </w:tbl>
  <w:p w:rsidR="003D67B9" w:rsidRDefault="00001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803E51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E8D61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36E66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4B"/>
    <w:rsid w:val="00001A9A"/>
    <w:rsid w:val="00063CB5"/>
    <w:rsid w:val="000720FC"/>
    <w:rsid w:val="000F3C46"/>
    <w:rsid w:val="00124641"/>
    <w:rsid w:val="001665F2"/>
    <w:rsid w:val="00196884"/>
    <w:rsid w:val="001A7017"/>
    <w:rsid w:val="0023512B"/>
    <w:rsid w:val="00267850"/>
    <w:rsid w:val="002B081D"/>
    <w:rsid w:val="002F36BF"/>
    <w:rsid w:val="002F4FF0"/>
    <w:rsid w:val="00306EFE"/>
    <w:rsid w:val="00345019"/>
    <w:rsid w:val="0036200A"/>
    <w:rsid w:val="003C205D"/>
    <w:rsid w:val="004E26A6"/>
    <w:rsid w:val="005508AC"/>
    <w:rsid w:val="005B2241"/>
    <w:rsid w:val="006C0A5F"/>
    <w:rsid w:val="006C23C9"/>
    <w:rsid w:val="00724F4B"/>
    <w:rsid w:val="00766A71"/>
    <w:rsid w:val="007B0535"/>
    <w:rsid w:val="007B4F13"/>
    <w:rsid w:val="007C6C1C"/>
    <w:rsid w:val="008279D9"/>
    <w:rsid w:val="008504B0"/>
    <w:rsid w:val="008F57E6"/>
    <w:rsid w:val="009D1783"/>
    <w:rsid w:val="009E6651"/>
    <w:rsid w:val="00A915F6"/>
    <w:rsid w:val="00AD47A8"/>
    <w:rsid w:val="00B23891"/>
    <w:rsid w:val="00BC4941"/>
    <w:rsid w:val="00BE71BD"/>
    <w:rsid w:val="00C11F08"/>
    <w:rsid w:val="00C46C37"/>
    <w:rsid w:val="00C8128B"/>
    <w:rsid w:val="00CA5583"/>
    <w:rsid w:val="00CF7C42"/>
    <w:rsid w:val="00D1112C"/>
    <w:rsid w:val="00D219E5"/>
    <w:rsid w:val="00D576C2"/>
    <w:rsid w:val="00DB0BB5"/>
    <w:rsid w:val="00E0520A"/>
    <w:rsid w:val="00E77900"/>
    <w:rsid w:val="00E90D5A"/>
    <w:rsid w:val="00EE78BB"/>
    <w:rsid w:val="00EF1011"/>
    <w:rsid w:val="00F102F3"/>
    <w:rsid w:val="00F1744B"/>
    <w:rsid w:val="00F51469"/>
    <w:rsid w:val="00F614BA"/>
    <w:rsid w:val="00F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6A266"/>
  <w15:docId w15:val="{3DF098C5-5A14-4397-B34E-911ED8FA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Normal"/>
    <w:link w:val="DSLxStyleChar"/>
    <w:rsid w:val="006B678E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DSLxStyleChar">
    <w:name w:val="DSLxStyle Char"/>
    <w:basedOn w:val="DefaultParagraphFont"/>
    <w:link w:val="DSLxStyle"/>
    <w:rsid w:val="006B678E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6DFF-8579-4F50-A6BC-F4899292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6939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24</cp:revision>
  <dcterms:created xsi:type="dcterms:W3CDTF">2017-09-18T18:55:00Z</dcterms:created>
  <dcterms:modified xsi:type="dcterms:W3CDTF">2018-04-18T13:15:00Z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06/09/2017 17:41:40</vt:lpwstr>
  </property>
  <property fmtid="{D5CDD505-2E9C-101B-9397-08002B2CF9AE}" pid="5" name="SSDCxCLASSFICATION_GUID">
    <vt:lpwstr>B0DE1AEA7CD49C1DBBCBB06AFF25A214</vt:lpwstr>
  </property>
  <property fmtid="{D5CDD505-2E9C-101B-9397-08002B2CF9AE}" pid="6" name="SSDCxCLASSFICATION_LANG">
    <vt:lpwstr>pt</vt:lpwstr>
  </property>
</Properties>
</file>