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CC" w:rsidRPr="00001ACC" w:rsidRDefault="00162FCC" w:rsidP="00E91B6D">
      <w:pPr>
        <w:pStyle w:val="ListParagraph"/>
        <w:numPr>
          <w:ilvl w:val="0"/>
          <w:numId w:val="2"/>
        </w:numPr>
        <w:spacing w:beforeLines="50" w:before="120" w:afterLines="240" w:after="576"/>
        <w:ind w:left="0" w:firstLine="0"/>
        <w:jc w:val="both"/>
        <w:rPr>
          <w:rFonts w:ascii="Verdana" w:hAnsi="Verdana"/>
          <w:b/>
          <w:color w:val="4F81BD"/>
          <w:sz w:val="20"/>
          <w:szCs w:val="20"/>
        </w:rPr>
      </w:pPr>
      <w:r w:rsidRPr="00001ACC">
        <w:rPr>
          <w:rFonts w:ascii="Verdana" w:hAnsi="Verdana"/>
          <w:b/>
          <w:sz w:val="20"/>
          <w:szCs w:val="20"/>
        </w:rPr>
        <w:t>Objetivo</w:t>
      </w:r>
    </w:p>
    <w:p w:rsidR="00162FCC" w:rsidRPr="00001ACC" w:rsidRDefault="00162FCC" w:rsidP="00E91B6D">
      <w:pPr>
        <w:pStyle w:val="ListParagraph"/>
        <w:spacing w:beforeLines="240" w:before="576" w:afterLines="240" w:after="576"/>
        <w:ind w:left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Definir diretrizes e padronizar procedimentos que suportem o processo de </w:t>
      </w:r>
      <w:r>
        <w:rPr>
          <w:rFonts w:ascii="Verdana" w:hAnsi="Verdana"/>
          <w:sz w:val="20"/>
          <w:szCs w:val="20"/>
        </w:rPr>
        <w:t>Ouvidoria</w:t>
      </w:r>
      <w:r w:rsidRPr="00001ACC">
        <w:rPr>
          <w:rFonts w:ascii="Verdana" w:hAnsi="Verdana"/>
          <w:sz w:val="20"/>
          <w:szCs w:val="20"/>
        </w:rPr>
        <w:t>, visando melhor gestão e direcionamento de denúncias, informações, reclamações e elogios.</w:t>
      </w:r>
    </w:p>
    <w:p w:rsidR="00162FCC" w:rsidRPr="00001ACC" w:rsidRDefault="00162FCC" w:rsidP="00E91B6D">
      <w:pPr>
        <w:pStyle w:val="ListParagraph"/>
        <w:spacing w:beforeLines="240" w:before="576" w:afterLines="240" w:after="576"/>
        <w:ind w:left="0"/>
        <w:jc w:val="both"/>
        <w:rPr>
          <w:rFonts w:ascii="Verdana" w:hAnsi="Verdana"/>
          <w:b/>
          <w:color w:val="4F81BD"/>
          <w:sz w:val="20"/>
          <w:szCs w:val="20"/>
        </w:rPr>
      </w:pPr>
    </w:p>
    <w:p w:rsidR="00162FCC" w:rsidRPr="00001ACC" w:rsidRDefault="00162FCC" w:rsidP="00E91B6D">
      <w:pPr>
        <w:pStyle w:val="ListParagraph"/>
        <w:numPr>
          <w:ilvl w:val="0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b/>
          <w:color w:val="4F81BD"/>
          <w:sz w:val="20"/>
          <w:szCs w:val="20"/>
        </w:rPr>
      </w:pPr>
      <w:r w:rsidRPr="00001ACC">
        <w:rPr>
          <w:rFonts w:ascii="Verdana" w:hAnsi="Verdana"/>
          <w:b/>
          <w:sz w:val="20"/>
          <w:szCs w:val="20"/>
        </w:rPr>
        <w:t>Abrangência</w:t>
      </w:r>
    </w:p>
    <w:p w:rsidR="00162FCC" w:rsidRPr="00001ACC" w:rsidRDefault="00162FCC" w:rsidP="00E91B6D">
      <w:pPr>
        <w:pStyle w:val="ListParagraph"/>
        <w:spacing w:beforeLines="240" w:before="576" w:afterLines="240" w:after="576"/>
        <w:ind w:left="0"/>
        <w:jc w:val="both"/>
        <w:rPr>
          <w:rFonts w:ascii="Verdana" w:hAnsi="Verdana"/>
          <w:b/>
          <w:color w:val="4F81BD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As definições, diretrizes e demais orientações introduzidas por esta norma aplica-se aos colaboradores envolvidos nos procedimentos realizados pela área de </w:t>
      </w:r>
      <w:r>
        <w:rPr>
          <w:rFonts w:ascii="Verdana" w:hAnsi="Verdana"/>
          <w:sz w:val="20"/>
          <w:szCs w:val="20"/>
        </w:rPr>
        <w:t>Ouvidoria</w:t>
      </w:r>
      <w:r w:rsidRPr="00001ACC">
        <w:rPr>
          <w:rFonts w:ascii="Verdana" w:hAnsi="Verdana"/>
          <w:sz w:val="20"/>
          <w:szCs w:val="20"/>
        </w:rPr>
        <w:t xml:space="preserve"> da SP Turismo.</w:t>
      </w:r>
    </w:p>
    <w:p w:rsidR="00162FCC" w:rsidRPr="00001ACC" w:rsidRDefault="00162FCC" w:rsidP="00E91B6D">
      <w:pPr>
        <w:pStyle w:val="ListParagraph"/>
        <w:spacing w:beforeLines="240" w:before="576" w:afterLines="240" w:after="576"/>
        <w:ind w:left="0"/>
        <w:jc w:val="both"/>
        <w:rPr>
          <w:rFonts w:ascii="Verdana" w:hAnsi="Verdana"/>
          <w:sz w:val="20"/>
          <w:szCs w:val="20"/>
        </w:rPr>
      </w:pPr>
    </w:p>
    <w:p w:rsidR="00162FCC" w:rsidRPr="00001ACC" w:rsidRDefault="00162FCC" w:rsidP="00E91B6D">
      <w:pPr>
        <w:pStyle w:val="ListParagraph"/>
        <w:numPr>
          <w:ilvl w:val="0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b/>
          <w:color w:val="4F81BD"/>
          <w:sz w:val="20"/>
          <w:szCs w:val="20"/>
        </w:rPr>
      </w:pPr>
      <w:r w:rsidRPr="00001ACC">
        <w:rPr>
          <w:rFonts w:ascii="Verdana" w:hAnsi="Verdana"/>
          <w:b/>
          <w:sz w:val="20"/>
          <w:szCs w:val="20"/>
        </w:rPr>
        <w:t>Definições</w:t>
      </w:r>
    </w:p>
    <w:p w:rsidR="00162FCC" w:rsidRPr="00001ACC" w:rsidRDefault="00162FCC" w:rsidP="00E91B6D">
      <w:pPr>
        <w:pStyle w:val="ListParagraph"/>
        <w:numPr>
          <w:ilvl w:val="1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  <w:u w:val="single"/>
        </w:rPr>
        <w:t>GAI:</w:t>
      </w:r>
      <w:r w:rsidRPr="00001ACC">
        <w:rPr>
          <w:rFonts w:ascii="Verdana" w:hAnsi="Verdana"/>
          <w:sz w:val="20"/>
          <w:szCs w:val="20"/>
        </w:rPr>
        <w:t xml:space="preserve"> Gerência de Auditoria e Controle Interno.</w:t>
      </w:r>
    </w:p>
    <w:p w:rsidR="00162FCC" w:rsidRPr="00853673" w:rsidRDefault="00162FCC" w:rsidP="00E91B6D">
      <w:pPr>
        <w:pStyle w:val="ListParagraph"/>
        <w:numPr>
          <w:ilvl w:val="1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853673">
        <w:rPr>
          <w:rFonts w:ascii="Verdana" w:hAnsi="Verdana"/>
          <w:sz w:val="20"/>
          <w:szCs w:val="20"/>
          <w:u w:val="single"/>
        </w:rPr>
        <w:t>GCO:</w:t>
      </w:r>
      <w:r w:rsidRPr="00853673">
        <w:rPr>
          <w:rFonts w:ascii="Verdana" w:hAnsi="Verdana"/>
          <w:sz w:val="20"/>
          <w:szCs w:val="20"/>
        </w:rPr>
        <w:t xml:space="preserve"> Gerência de Compras e Contratos.</w:t>
      </w:r>
    </w:p>
    <w:p w:rsidR="00162FCC" w:rsidRPr="00853673" w:rsidRDefault="00162FCC" w:rsidP="00E91B6D">
      <w:pPr>
        <w:pStyle w:val="ListParagraph"/>
        <w:numPr>
          <w:ilvl w:val="1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853673">
        <w:rPr>
          <w:rFonts w:ascii="Verdana" w:hAnsi="Verdana"/>
          <w:sz w:val="20"/>
          <w:szCs w:val="20"/>
          <w:u w:val="single"/>
        </w:rPr>
        <w:t>GCP:</w:t>
      </w:r>
      <w:r w:rsidRPr="00853673">
        <w:rPr>
          <w:rFonts w:ascii="Verdana" w:hAnsi="Verdana"/>
          <w:sz w:val="20"/>
          <w:szCs w:val="20"/>
        </w:rPr>
        <w:t xml:space="preserve"> Gerência de Comunicação. </w:t>
      </w:r>
    </w:p>
    <w:p w:rsidR="00162FCC" w:rsidRPr="00001ACC" w:rsidRDefault="00162FCC" w:rsidP="00E91B6D">
      <w:pPr>
        <w:pStyle w:val="ListParagraph"/>
        <w:numPr>
          <w:ilvl w:val="1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  <w:u w:val="single"/>
        </w:rPr>
        <w:t>GJU:</w:t>
      </w:r>
      <w:r w:rsidRPr="00001ACC">
        <w:rPr>
          <w:rFonts w:ascii="Verdana" w:hAnsi="Verdana"/>
          <w:sz w:val="20"/>
          <w:szCs w:val="20"/>
        </w:rPr>
        <w:t xml:space="preserve"> Gerência Jurídica.</w:t>
      </w:r>
    </w:p>
    <w:p w:rsidR="00162FCC" w:rsidRPr="00001ACC" w:rsidRDefault="00162FCC" w:rsidP="00E91B6D">
      <w:pPr>
        <w:pStyle w:val="ListParagraph"/>
        <w:numPr>
          <w:ilvl w:val="1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  <w:u w:val="single"/>
        </w:rPr>
        <w:t>GSS:</w:t>
      </w:r>
      <w:r w:rsidRPr="00001ACC">
        <w:rPr>
          <w:rFonts w:ascii="Verdana" w:hAnsi="Verdana"/>
          <w:sz w:val="20"/>
          <w:szCs w:val="20"/>
        </w:rPr>
        <w:t xml:space="preserve"> Gerência de Segurança e Serviços Auxiliares.</w:t>
      </w:r>
    </w:p>
    <w:p w:rsidR="00162FCC" w:rsidRPr="002D5097" w:rsidRDefault="00162FCC" w:rsidP="00E91B6D">
      <w:pPr>
        <w:pStyle w:val="ListParagraph"/>
        <w:numPr>
          <w:ilvl w:val="1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  <w:u w:val="single"/>
        </w:rPr>
      </w:pPr>
      <w:r w:rsidRPr="007056A3">
        <w:rPr>
          <w:rFonts w:ascii="Verdana" w:hAnsi="Verdana"/>
          <w:sz w:val="20"/>
          <w:szCs w:val="20"/>
          <w:u w:val="single"/>
        </w:rPr>
        <w:t>OUV:</w:t>
      </w:r>
      <w:r w:rsidRPr="00001AC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Ouvidoria da SP Turismo</w:t>
      </w:r>
      <w:r w:rsidRPr="00001ACC">
        <w:rPr>
          <w:rFonts w:ascii="Verdana" w:hAnsi="Verdana"/>
          <w:sz w:val="20"/>
          <w:szCs w:val="20"/>
        </w:rPr>
        <w:t>.</w:t>
      </w:r>
    </w:p>
    <w:p w:rsidR="00162FCC" w:rsidRPr="002D5097" w:rsidRDefault="00162FCC" w:rsidP="00E91B6D">
      <w:pPr>
        <w:pStyle w:val="ListParagraph"/>
        <w:numPr>
          <w:ilvl w:val="1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PA:</w:t>
      </w:r>
      <w:r w:rsidRPr="002D5097">
        <w:rPr>
          <w:rFonts w:ascii="Verdana" w:hAnsi="Verdana"/>
          <w:sz w:val="20"/>
          <w:szCs w:val="20"/>
        </w:rPr>
        <w:t xml:space="preserve"> Processo Administrativo.</w:t>
      </w:r>
    </w:p>
    <w:p w:rsidR="00162FCC" w:rsidRPr="00001ACC" w:rsidRDefault="00162FCC" w:rsidP="00E91B6D">
      <w:pPr>
        <w:pStyle w:val="ListParagraph"/>
        <w:spacing w:beforeLines="240" w:before="576" w:afterLines="240" w:after="576"/>
        <w:ind w:left="0"/>
        <w:jc w:val="both"/>
        <w:rPr>
          <w:rFonts w:ascii="Verdana" w:hAnsi="Verdana"/>
          <w:b/>
          <w:sz w:val="20"/>
          <w:szCs w:val="20"/>
        </w:rPr>
      </w:pPr>
    </w:p>
    <w:p w:rsidR="00162FCC" w:rsidRPr="00001ACC" w:rsidRDefault="00162FCC" w:rsidP="00E91B6D">
      <w:pPr>
        <w:pStyle w:val="ListParagraph"/>
        <w:numPr>
          <w:ilvl w:val="0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01ACC">
        <w:rPr>
          <w:rFonts w:ascii="Verdana" w:hAnsi="Verdana"/>
          <w:b/>
          <w:sz w:val="20"/>
          <w:szCs w:val="20"/>
        </w:rPr>
        <w:t>Diretrizes</w:t>
      </w:r>
    </w:p>
    <w:p w:rsidR="00162FCC" w:rsidRPr="00001ACC" w:rsidRDefault="00162FCC" w:rsidP="00E91B6D">
      <w:pPr>
        <w:pStyle w:val="ListParagraph"/>
        <w:numPr>
          <w:ilvl w:val="1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OUV (Ouvidoria da SP Turismo)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 deve receber manifestações através de dois canais: o Fale Conosco e o próprio canal da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>.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As manifestações recebidas são divididas em quatro categorias: denúncia, informação, reclamação e elogios. 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Para os casos de denúncia, a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 deve repassar a denúncia para a GAI efetuar as diligências e, se necessário, realizar a abertura de um PA</w:t>
      </w:r>
      <w:r>
        <w:rPr>
          <w:rFonts w:ascii="Verdana" w:hAnsi="Verdana"/>
          <w:sz w:val="20"/>
          <w:szCs w:val="20"/>
        </w:rPr>
        <w:t>.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Em alguns casos, a GAI poderá solicitar que a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 providencie mais subsídios junto ao denunciante a fim de fundamentar melhor a denúncia efetuada.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A GAI deve avaliar as documentações e, se julgar necessário, deve realizar a abertura de um processo de Sindicância. Nesse caso a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 deve ser informada e o processo deve passar a ser de responsabilidade integral da GAI.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 Nos casos de pedidos de informações, a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 recebe os telefones/e-mails e a própria secretária da área esclarece, consultando-se as demais áreas da empresa, se necessário.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Quando tratar-se de uma reclamação, o reclamante deve formalizar a queixa com a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 por e-mail ou carta escrita à mão, para que seja encaminhada a reclamação para as áreas envolvidas auxiliarem na resposta.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 Para controlar o status de solução das reclamações a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 deve manter um controle contendo o histórico de resolução.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Para casos mais simples, as áreas possuem um prazo máximo de 15 (quinze) dias para esclarecer os fatos da reclamação à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. A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 deve enviar a resposta final ao reclamante em, no máximo, 20 (vinte) dias. Para os casos mais complexos, as áreas apresentam justificativa formal e esclarecem os fatos da reclamação à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 em um prazo máximo de 25 (vinte e cinco) dias. A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 deve enviar a resposta final ao reclamante em, no máximo, 30 (trinta) dias.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 Após esclarecimento da área referente </w:t>
      </w:r>
      <w:r>
        <w:rPr>
          <w:rFonts w:ascii="Verdana" w:hAnsi="Verdana"/>
          <w:sz w:val="20"/>
          <w:szCs w:val="20"/>
        </w:rPr>
        <w:t>à</w:t>
      </w:r>
      <w:r w:rsidRPr="00001ACC">
        <w:rPr>
          <w:rFonts w:ascii="Verdana" w:hAnsi="Verdana"/>
          <w:sz w:val="20"/>
          <w:szCs w:val="20"/>
        </w:rPr>
        <w:t xml:space="preserve"> reclamação, a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 deve moldar as respostas e retransmitir para o reclamante. A depender da resposta, a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 deve pedir auxílio à Gerência de Comunicação para fundamentar melhor a resposta a ser dada.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 deve ser a responsável por receber das áreas as informações que devem ser publicadas no Portal da Transparência, cada departamento possui um </w:t>
      </w:r>
      <w:r w:rsidRPr="00001ACC">
        <w:rPr>
          <w:rFonts w:ascii="Verdana" w:hAnsi="Verdana"/>
          <w:sz w:val="20"/>
          <w:szCs w:val="20"/>
        </w:rPr>
        <w:lastRenderedPageBreak/>
        <w:t xml:space="preserve">prazo diferente (de acordo com a Norma NG GAI 04 - Portal da Transparência) para enviar as informações/documentos.  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Na ocorrência de algum dano a pessoa ou a patrimônio de terceiro dentro do Parque Anhembi, o reclamante deve entrar em contato com a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 e enviar toda a documentação por e-mail.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 A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 deve conferir os documentos e deve</w:t>
      </w:r>
      <w:r>
        <w:rPr>
          <w:rFonts w:ascii="Verdana" w:hAnsi="Verdana"/>
          <w:sz w:val="20"/>
          <w:szCs w:val="20"/>
        </w:rPr>
        <w:t xml:space="preserve"> enviar para a GCO</w:t>
      </w:r>
      <w:r w:rsidRPr="00001ACC">
        <w:rPr>
          <w:rFonts w:ascii="Verdana" w:hAnsi="Verdana"/>
          <w:sz w:val="20"/>
          <w:szCs w:val="20"/>
        </w:rPr>
        <w:t xml:space="preserve"> abrir um PA, o processo deve ser encaminhado para a GSS (Gerência de Segurança e Serviços Auxiliares) anexar o RO (Relatório de Ocorrência). 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Feito isso, o processo deve ser enviado para a GJU (Gerência Jurídica) e demais departamentos envolvidos. O processo deve ser finalizado na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 para que o solicitante seja informado do resultado de seu pedido.   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>O solicitante deve ser informado do resultado de sua solicitação em até 50 (cinquenta) dias corridos.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 também deve ser responsável por auxiliar a GSS na devolução dos achados e perdidos. As pessoas devem entrar em contato com a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 no caso de algum documento ou objeto perdido cadastrado no site pela GSS. 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OUV</w:t>
      </w:r>
      <w:r w:rsidRPr="00001ACC">
        <w:rPr>
          <w:rFonts w:ascii="Verdana" w:hAnsi="Verdana"/>
          <w:sz w:val="20"/>
          <w:szCs w:val="20"/>
        </w:rPr>
        <w:t xml:space="preserve"> deve contatar a GSS para identificar o objeto procurado e deve realizar a devolução. No ato da devolução a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 deve solicitar a assinatura de um comprovante de devolução e o mesmo deve ser enviado a GSS (conforme NG DIE 05 – Achados e Perdidos).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O canal Reclame Aqui da SP Turismo é de responsabilidade da GCP (Gerência de Comunicação). Todas as respostas que são efetuadas publicamente no site do Reclame Aqui devem realizadas pela GCP em até 4 (quatro) dias corridos para casos mais simples e em até 7 (sete) dias corridos para casos mais complexos. 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 deve ser informada pela GCP sobre as reclamações e sobre o andamento das respostas dadas no canal Reclame Aqui.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 deve ser responsável por emitir a carteirinha para concessão de desconto no Carnaval às pessoas com deficiência ou com mobilidade reduzida.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  O prazo para a emissão das carteirinhas deve ser divulgado na Intranet da SP Turismo. 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Para isso, o requisitante deve comparecer pessoalmente à </w:t>
      </w:r>
      <w:r>
        <w:rPr>
          <w:rFonts w:ascii="Verdana" w:hAnsi="Verdana"/>
          <w:sz w:val="20"/>
          <w:szCs w:val="20"/>
        </w:rPr>
        <w:t>OUV</w:t>
      </w:r>
      <w:r w:rsidRPr="00001ACC">
        <w:rPr>
          <w:rFonts w:ascii="Verdana" w:hAnsi="Verdana"/>
          <w:sz w:val="20"/>
          <w:szCs w:val="20"/>
        </w:rPr>
        <w:t xml:space="preserve"> portando o RG, CPF, laudo médico e duas fotos 3x4. </w:t>
      </w:r>
    </w:p>
    <w:p w:rsidR="00162FCC" w:rsidRPr="00001ACC" w:rsidRDefault="00162FCC" w:rsidP="00E91B6D">
      <w:pPr>
        <w:pStyle w:val="ListParagraph"/>
        <w:numPr>
          <w:ilvl w:val="2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Após a emissão da carteirinha, o requisitante pode comprar seu ingresso com desconto diretamente na Bilheteria. No caso das pessoas que possuem Bilhete Único Especial Deficiências, não é necessária a emissão da carteirinha. Basta apresentá-lo na bilheteria e comprar o ingresso com desconto. </w:t>
      </w:r>
    </w:p>
    <w:p w:rsidR="00162FCC" w:rsidRPr="00001ACC" w:rsidRDefault="00162FCC" w:rsidP="00E91B6D">
      <w:pPr>
        <w:pStyle w:val="ListParagraph"/>
        <w:spacing w:beforeLines="240" w:before="576" w:afterLines="240" w:after="576"/>
        <w:ind w:left="0"/>
        <w:jc w:val="both"/>
        <w:rPr>
          <w:rFonts w:ascii="Verdana" w:hAnsi="Verdana"/>
          <w:sz w:val="20"/>
          <w:szCs w:val="20"/>
        </w:rPr>
      </w:pPr>
    </w:p>
    <w:p w:rsidR="00162FCC" w:rsidRPr="00001ACC" w:rsidRDefault="00162FCC" w:rsidP="00E91B6D">
      <w:pPr>
        <w:pStyle w:val="ListParagraph"/>
        <w:numPr>
          <w:ilvl w:val="0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01ACC">
        <w:rPr>
          <w:rFonts w:ascii="Verdana" w:hAnsi="Verdana"/>
          <w:b/>
          <w:sz w:val="20"/>
          <w:szCs w:val="20"/>
        </w:rPr>
        <w:t>Penalidades</w:t>
      </w:r>
    </w:p>
    <w:p w:rsidR="00162FCC" w:rsidRPr="00001ACC" w:rsidRDefault="00162FCC" w:rsidP="00E91B6D">
      <w:pPr>
        <w:pStyle w:val="ListParagraph"/>
        <w:numPr>
          <w:ilvl w:val="1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 xml:space="preserve">Todos os colaboradores estarão sujeitos às penalidades das normas disciplinares da SP Turismo, em especial a </w:t>
      </w:r>
      <w:r>
        <w:rPr>
          <w:rFonts w:ascii="Verdana" w:hAnsi="Verdana"/>
          <w:b/>
          <w:sz w:val="20"/>
          <w:szCs w:val="20"/>
        </w:rPr>
        <w:t>NG GRH 07</w:t>
      </w:r>
      <w:r w:rsidRPr="00001ACC">
        <w:rPr>
          <w:rFonts w:ascii="Verdana" w:hAnsi="Verdana"/>
          <w:b/>
          <w:sz w:val="20"/>
          <w:szCs w:val="20"/>
        </w:rPr>
        <w:t xml:space="preserve"> - Conduta Funcional</w:t>
      </w:r>
      <w:r w:rsidRPr="00001ACC">
        <w:rPr>
          <w:rFonts w:ascii="Verdana" w:hAnsi="Verdana"/>
          <w:sz w:val="20"/>
          <w:szCs w:val="20"/>
        </w:rPr>
        <w:t>, no caso de descumprimento desta Norma.</w:t>
      </w:r>
    </w:p>
    <w:p w:rsidR="00162FCC" w:rsidRPr="00001ACC" w:rsidRDefault="00162FCC" w:rsidP="00E91B6D">
      <w:pPr>
        <w:pStyle w:val="ListParagraph"/>
        <w:spacing w:beforeLines="240" w:before="576" w:afterLines="240" w:after="576"/>
        <w:ind w:left="0"/>
        <w:jc w:val="both"/>
        <w:rPr>
          <w:rFonts w:ascii="Verdana" w:hAnsi="Verdana"/>
          <w:b/>
          <w:sz w:val="20"/>
          <w:szCs w:val="20"/>
        </w:rPr>
      </w:pPr>
    </w:p>
    <w:p w:rsidR="00162FCC" w:rsidRPr="00001ACC" w:rsidRDefault="00162FCC" w:rsidP="00E91B6D">
      <w:pPr>
        <w:pStyle w:val="ListParagraph"/>
        <w:numPr>
          <w:ilvl w:val="0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01ACC">
        <w:rPr>
          <w:rFonts w:ascii="Verdana" w:hAnsi="Verdana"/>
          <w:b/>
          <w:sz w:val="20"/>
          <w:szCs w:val="20"/>
        </w:rPr>
        <w:t xml:space="preserve">Legislação básica </w:t>
      </w:r>
    </w:p>
    <w:p w:rsidR="00162FCC" w:rsidRPr="00001ACC" w:rsidRDefault="00162FCC" w:rsidP="00E91B6D">
      <w:pPr>
        <w:pStyle w:val="ListParagraph"/>
        <w:numPr>
          <w:ilvl w:val="1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01ACC">
        <w:rPr>
          <w:rFonts w:ascii="Verdana" w:hAnsi="Verdana"/>
          <w:color w:val="000000"/>
          <w:sz w:val="20"/>
          <w:szCs w:val="20"/>
          <w:shd w:val="clear" w:color="auto" w:fill="FFFFFF"/>
        </w:rPr>
        <w:t>LEI FEDERAL Nº 13.303 - Lei de Responsabilidade das Estatais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162FCC" w:rsidRPr="00001ACC" w:rsidRDefault="00162FCC" w:rsidP="00E91B6D">
      <w:pPr>
        <w:pStyle w:val="ListParagraph"/>
        <w:numPr>
          <w:ilvl w:val="1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001ACC">
        <w:rPr>
          <w:rFonts w:ascii="Verdana" w:hAnsi="Verdana"/>
          <w:color w:val="000000"/>
          <w:sz w:val="20"/>
          <w:szCs w:val="20"/>
          <w:shd w:val="clear" w:color="auto" w:fill="FFFFFF"/>
        </w:rPr>
        <w:t>A Lei Complementar 131, de 27 de maio de 2009, que alterou a redação da Lei de Responsabilidade Fiscal no que se refere à transparência da gestão fiscal, inovando ao determinar a disponibilização, em tempo real, de informações pormenorizadas sobre a execução orçamentária e financeira da União, dos Estados, do Distrito Federal e dos Municípios.</w:t>
      </w:r>
    </w:p>
    <w:p w:rsidR="00162FCC" w:rsidRPr="00001ACC" w:rsidRDefault="00162FCC" w:rsidP="00E91B6D">
      <w:pPr>
        <w:pStyle w:val="ListParagraph"/>
        <w:spacing w:beforeLines="240" w:before="576" w:afterLines="240" w:after="576"/>
        <w:ind w:left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162FCC" w:rsidRPr="00001ACC" w:rsidRDefault="00162FCC" w:rsidP="00E91B6D">
      <w:pPr>
        <w:pStyle w:val="ListParagraph"/>
        <w:numPr>
          <w:ilvl w:val="0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01ACC">
        <w:rPr>
          <w:rFonts w:ascii="Verdana" w:hAnsi="Verdana"/>
          <w:b/>
          <w:sz w:val="20"/>
          <w:szCs w:val="20"/>
        </w:rPr>
        <w:t>Anexos</w:t>
      </w:r>
    </w:p>
    <w:p w:rsidR="00162FCC" w:rsidRPr="00001ACC" w:rsidRDefault="00162FCC" w:rsidP="00E91B6D">
      <w:pPr>
        <w:pStyle w:val="ListParagraph"/>
        <w:numPr>
          <w:ilvl w:val="1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>Não existem anexos referentes a esta Norma.</w:t>
      </w:r>
    </w:p>
    <w:p w:rsidR="00162FCC" w:rsidRPr="00001ACC" w:rsidRDefault="00162FCC" w:rsidP="00E91B6D">
      <w:pPr>
        <w:pStyle w:val="ListParagraph"/>
        <w:spacing w:beforeLines="240" w:before="576" w:afterLines="240" w:after="576"/>
        <w:ind w:left="0"/>
        <w:jc w:val="both"/>
        <w:rPr>
          <w:rFonts w:ascii="Verdana" w:hAnsi="Verdana"/>
          <w:sz w:val="20"/>
          <w:szCs w:val="20"/>
        </w:rPr>
      </w:pPr>
    </w:p>
    <w:p w:rsidR="00162FCC" w:rsidRPr="00001ACC" w:rsidRDefault="00162FCC" w:rsidP="00E91B6D">
      <w:pPr>
        <w:pStyle w:val="ListParagraph"/>
        <w:numPr>
          <w:ilvl w:val="0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01ACC">
        <w:rPr>
          <w:rFonts w:ascii="Verdana" w:hAnsi="Verdana"/>
          <w:b/>
          <w:sz w:val="20"/>
          <w:szCs w:val="20"/>
        </w:rPr>
        <w:t>Revisões</w:t>
      </w:r>
    </w:p>
    <w:p w:rsidR="00162FCC" w:rsidRPr="00001ACC" w:rsidRDefault="00162FCC" w:rsidP="00E91B6D">
      <w:pPr>
        <w:pStyle w:val="ListParagraph"/>
        <w:numPr>
          <w:ilvl w:val="1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01ACC">
        <w:rPr>
          <w:rFonts w:ascii="Verdana" w:hAnsi="Verdana"/>
          <w:sz w:val="20"/>
          <w:szCs w:val="20"/>
        </w:rPr>
        <w:t>Anualmente, as definições e diretrizes desta norma devem ser revisadas e aprovadas pela GAI (Gerência de Auditoria e Controle Interno).</w:t>
      </w:r>
    </w:p>
    <w:p w:rsidR="00162FCC" w:rsidRPr="00001ACC" w:rsidRDefault="00162FCC" w:rsidP="00E91B6D">
      <w:pPr>
        <w:pStyle w:val="ListParagraph"/>
        <w:spacing w:beforeLines="240" w:before="576" w:afterLines="240" w:after="576"/>
        <w:ind w:left="0"/>
        <w:jc w:val="both"/>
        <w:rPr>
          <w:rFonts w:ascii="Verdana" w:hAnsi="Verdana"/>
          <w:b/>
          <w:sz w:val="20"/>
          <w:szCs w:val="20"/>
        </w:rPr>
      </w:pPr>
    </w:p>
    <w:p w:rsidR="00162FCC" w:rsidRPr="00001ACC" w:rsidRDefault="00162FCC" w:rsidP="00E91B6D">
      <w:pPr>
        <w:pStyle w:val="ListParagraph"/>
        <w:numPr>
          <w:ilvl w:val="0"/>
          <w:numId w:val="2"/>
        </w:numPr>
        <w:spacing w:beforeLines="240" w:before="576" w:afterLines="240" w:after="576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01ACC">
        <w:rPr>
          <w:rFonts w:ascii="Verdana" w:hAnsi="Verdana"/>
          <w:b/>
          <w:sz w:val="20"/>
          <w:szCs w:val="20"/>
        </w:rPr>
        <w:t>Histórico de alterações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94"/>
        <w:gridCol w:w="1268"/>
        <w:gridCol w:w="1466"/>
        <w:gridCol w:w="2001"/>
        <w:gridCol w:w="2891"/>
      </w:tblGrid>
      <w:tr w:rsidR="00162FCC" w:rsidRPr="00001ACC" w:rsidTr="00332033">
        <w:trPr>
          <w:trHeight w:val="230"/>
        </w:trPr>
        <w:tc>
          <w:tcPr>
            <w:tcW w:w="921" w:type="dxa"/>
            <w:vMerge w:val="restart"/>
            <w:shd w:val="clear" w:color="auto" w:fill="C0C0C0"/>
            <w:vAlign w:val="center"/>
          </w:tcPr>
          <w:p w:rsidR="00162FCC" w:rsidRPr="00001ACC" w:rsidRDefault="00162FCC" w:rsidP="00E91B6D">
            <w:pPr>
              <w:spacing w:beforeLines="240" w:before="576" w:afterLines="240" w:after="576"/>
              <w:contextualSpacing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01ACC">
              <w:rPr>
                <w:rFonts w:ascii="Verdana" w:hAnsi="Verdana"/>
                <w:b/>
                <w:sz w:val="20"/>
                <w:szCs w:val="20"/>
              </w:rPr>
              <w:t>Revisão</w:t>
            </w:r>
          </w:p>
        </w:tc>
        <w:tc>
          <w:tcPr>
            <w:tcW w:w="232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62FCC" w:rsidRPr="00001ACC" w:rsidRDefault="00162FCC" w:rsidP="00E91B6D">
            <w:pPr>
              <w:spacing w:beforeLines="240" w:before="576" w:afterLines="240" w:after="576"/>
              <w:contextualSpacing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01ACC"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3908" w:type="dxa"/>
            <w:vMerge w:val="restart"/>
            <w:shd w:val="clear" w:color="auto" w:fill="C0C0C0"/>
            <w:vAlign w:val="center"/>
          </w:tcPr>
          <w:p w:rsidR="00162FCC" w:rsidRPr="00001ACC" w:rsidRDefault="00162FCC" w:rsidP="00E91B6D">
            <w:pPr>
              <w:spacing w:beforeLines="240" w:before="576" w:afterLines="240" w:after="576"/>
              <w:contextualSpacing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01ACC">
              <w:rPr>
                <w:rFonts w:ascii="Verdana" w:hAnsi="Verdana"/>
                <w:b/>
                <w:sz w:val="20"/>
                <w:szCs w:val="20"/>
              </w:rPr>
              <w:t>Alterações</w:t>
            </w:r>
          </w:p>
        </w:tc>
        <w:tc>
          <w:tcPr>
            <w:tcW w:w="2950" w:type="dxa"/>
            <w:vMerge w:val="restart"/>
            <w:shd w:val="clear" w:color="auto" w:fill="C0C0C0"/>
            <w:vAlign w:val="center"/>
          </w:tcPr>
          <w:p w:rsidR="00162FCC" w:rsidRPr="00001ACC" w:rsidRDefault="00162FCC" w:rsidP="00E91B6D">
            <w:pPr>
              <w:spacing w:beforeLines="240" w:before="576" w:afterLines="240" w:after="576"/>
              <w:contextualSpacing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01ACC">
              <w:rPr>
                <w:rFonts w:ascii="Verdana" w:hAnsi="Verdana"/>
                <w:b/>
                <w:sz w:val="20"/>
                <w:szCs w:val="20"/>
              </w:rPr>
              <w:t>Revisores/Aprovadores</w:t>
            </w:r>
          </w:p>
        </w:tc>
      </w:tr>
      <w:tr w:rsidR="00162FCC" w:rsidRPr="00001ACC" w:rsidTr="00332033">
        <w:trPr>
          <w:trHeight w:val="184"/>
        </w:trPr>
        <w:tc>
          <w:tcPr>
            <w:tcW w:w="0" w:type="auto"/>
            <w:vMerge/>
          </w:tcPr>
          <w:p w:rsidR="00162FCC" w:rsidRPr="00001ACC" w:rsidRDefault="00162FCC" w:rsidP="00E91B6D">
            <w:pPr>
              <w:spacing w:beforeLines="240" w:before="576" w:afterLines="240" w:after="576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2FCC" w:rsidRPr="00001ACC" w:rsidRDefault="00162FCC" w:rsidP="00E91B6D">
            <w:pPr>
              <w:spacing w:beforeLines="240" w:before="576" w:afterLines="240" w:after="576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001ACC">
              <w:rPr>
                <w:rFonts w:ascii="Verdana" w:hAnsi="Verdana"/>
                <w:sz w:val="20"/>
                <w:szCs w:val="20"/>
              </w:rPr>
              <w:t>Publicação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62FCC" w:rsidRPr="00001ACC" w:rsidRDefault="00162FCC" w:rsidP="00E91B6D">
            <w:pPr>
              <w:spacing w:beforeLines="240" w:before="576" w:afterLines="240" w:after="576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001ACC">
              <w:rPr>
                <w:rFonts w:ascii="Verdana" w:hAnsi="Verdana"/>
                <w:sz w:val="20"/>
                <w:szCs w:val="20"/>
              </w:rPr>
              <w:t>Implantação</w:t>
            </w:r>
          </w:p>
        </w:tc>
        <w:tc>
          <w:tcPr>
            <w:tcW w:w="0" w:type="auto"/>
            <w:vMerge/>
          </w:tcPr>
          <w:p w:rsidR="00162FCC" w:rsidRPr="00001ACC" w:rsidRDefault="00162FCC" w:rsidP="00E91B6D">
            <w:pPr>
              <w:spacing w:beforeLines="240" w:before="576" w:afterLines="240" w:after="576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62FCC" w:rsidRPr="00001ACC" w:rsidRDefault="00162FCC" w:rsidP="00E91B6D">
            <w:pPr>
              <w:spacing w:beforeLines="240" w:before="576" w:afterLines="240" w:after="576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62FCC" w:rsidRPr="00001ACC" w:rsidTr="00332033">
        <w:trPr>
          <w:trHeight w:val="288"/>
        </w:trPr>
        <w:tc>
          <w:tcPr>
            <w:tcW w:w="921" w:type="dxa"/>
            <w:vAlign w:val="center"/>
          </w:tcPr>
          <w:p w:rsidR="00162FCC" w:rsidRPr="00001ACC" w:rsidRDefault="00162FCC" w:rsidP="00E91B6D">
            <w:pPr>
              <w:spacing w:beforeLines="240" w:before="576" w:afterLines="240" w:after="576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001ACC">
              <w:rPr>
                <w:rFonts w:ascii="Verdana" w:hAnsi="Verdana"/>
                <w:sz w:val="20"/>
                <w:szCs w:val="20"/>
              </w:rPr>
              <w:t xml:space="preserve">REV. 01 </w:t>
            </w:r>
          </w:p>
        </w:tc>
        <w:tc>
          <w:tcPr>
            <w:tcW w:w="1172" w:type="dxa"/>
            <w:vAlign w:val="center"/>
          </w:tcPr>
          <w:p w:rsidR="00162FCC" w:rsidRPr="00001ACC" w:rsidRDefault="00162FCC" w:rsidP="00E91B6D">
            <w:pPr>
              <w:spacing w:beforeLines="240" w:before="576" w:afterLines="240" w:after="576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162FCC" w:rsidRPr="00001ACC" w:rsidRDefault="00162FCC" w:rsidP="00E91B6D">
            <w:pPr>
              <w:spacing w:beforeLines="240" w:before="576" w:afterLines="240" w:after="576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08" w:type="dxa"/>
            <w:vAlign w:val="center"/>
          </w:tcPr>
          <w:p w:rsidR="00162FCC" w:rsidRPr="00001ACC" w:rsidRDefault="00162FCC" w:rsidP="00E91B6D">
            <w:pPr>
              <w:spacing w:beforeLines="240" w:before="576" w:afterLines="240" w:after="576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001ACC">
              <w:rPr>
                <w:rFonts w:ascii="Verdana" w:hAnsi="Verdana"/>
                <w:sz w:val="20"/>
                <w:szCs w:val="20"/>
              </w:rPr>
              <w:t>Não aplicável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162FCC" w:rsidRPr="00001ACC" w:rsidRDefault="00162FCC" w:rsidP="00E91B6D">
            <w:pPr>
              <w:spacing w:beforeLines="240" w:before="576" w:afterLines="240" w:after="576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GAI: </w:t>
            </w:r>
            <w:r w:rsidRPr="00001ACC">
              <w:rPr>
                <w:rFonts w:ascii="Verdana" w:hAnsi="Verdana"/>
                <w:sz w:val="20"/>
                <w:szCs w:val="20"/>
              </w:rPr>
              <w:t>José Marcos Miziara</w:t>
            </w:r>
            <w:r>
              <w:rPr>
                <w:rFonts w:ascii="Verdana" w:hAnsi="Verdana"/>
                <w:sz w:val="20"/>
                <w:szCs w:val="20"/>
              </w:rPr>
              <w:t xml:space="preserve"> Filho</w:t>
            </w:r>
          </w:p>
          <w:p w:rsidR="00162FCC" w:rsidRPr="00001ACC" w:rsidRDefault="00162FCC" w:rsidP="00E91B6D">
            <w:pPr>
              <w:spacing w:beforeLines="240" w:before="576" w:afterLines="240" w:after="576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62FCC" w:rsidRPr="00001ACC" w:rsidRDefault="00162FCC" w:rsidP="00E91B6D">
      <w:pPr>
        <w:spacing w:beforeLines="240" w:before="576" w:afterLines="240" w:after="576"/>
        <w:jc w:val="both"/>
        <w:rPr>
          <w:rFonts w:ascii="Verdana" w:hAnsi="Verdana"/>
          <w:sz w:val="20"/>
          <w:szCs w:val="20"/>
        </w:rPr>
      </w:pPr>
    </w:p>
    <w:p w:rsidR="00315D5D" w:rsidRPr="00162FCC" w:rsidRDefault="00315D5D" w:rsidP="00E91B6D">
      <w:pPr>
        <w:jc w:val="both"/>
      </w:pPr>
    </w:p>
    <w:sectPr w:rsidR="00315D5D" w:rsidRPr="00162FCC" w:rsidSect="00C706E0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7" w:right="1701" w:bottom="1417" w:left="1701" w:header="708" w:footer="708" w:gutter="0"/>
      <w:pgNumType w:start="5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6BB" w:rsidRDefault="001256BB">
      <w:r>
        <w:separator/>
      </w:r>
    </w:p>
  </w:endnote>
  <w:endnote w:type="continuationSeparator" w:id="0">
    <w:p w:rsidR="001256BB" w:rsidRDefault="0012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B9" w:rsidRDefault="00CC5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A48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67B9" w:rsidRDefault="001256BB">
    <w:pPr>
      <w:pStyle w:val="Footer"/>
      <w:ind w:right="360"/>
    </w:pPr>
  </w:p>
  <w:p w:rsidR="00511A83" w:rsidRDefault="00511A83" w:rsidP="00511A83">
    <w:pPr>
      <w:pStyle w:val="DSLxSty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48" w:type="dxa"/>
      <w:tblInd w:w="-601" w:type="dxa"/>
      <w:tblLook w:val="0000" w:firstRow="0" w:lastRow="0" w:firstColumn="0" w:lastColumn="0" w:noHBand="0" w:noVBand="0"/>
    </w:tblPr>
    <w:tblGrid>
      <w:gridCol w:w="10348"/>
    </w:tblGrid>
    <w:tr w:rsidR="00843AAB" w:rsidTr="00761F97">
      <w:tc>
        <w:tcPr>
          <w:tcW w:w="103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43AAB" w:rsidRPr="00761F97" w:rsidRDefault="002A48FF" w:rsidP="00B17993">
          <w:pPr>
            <w:pStyle w:val="Footer"/>
            <w:ind w:left="-250" w:right="360" w:firstLine="250"/>
            <w:jc w:val="center"/>
            <w:rPr>
              <w:rFonts w:ascii="Verdana" w:hAnsi="Verdana"/>
              <w:i/>
              <w:sz w:val="16"/>
              <w:szCs w:val="16"/>
            </w:rPr>
          </w:pPr>
          <w:r w:rsidRPr="00761F97">
            <w:rPr>
              <w:rFonts w:ascii="Verdana" w:hAnsi="Verdana"/>
              <w:i/>
              <w:sz w:val="16"/>
              <w:szCs w:val="16"/>
            </w:rPr>
            <w:t>Este documento não pode ser usado, copiado ou cedido sem prévia autoriz</w:t>
          </w:r>
          <w:r>
            <w:rPr>
              <w:rFonts w:ascii="Verdana" w:hAnsi="Verdana"/>
              <w:i/>
              <w:sz w:val="16"/>
              <w:szCs w:val="16"/>
            </w:rPr>
            <w:t>ação da SP TURISMO</w:t>
          </w:r>
          <w:r w:rsidRPr="00761F97">
            <w:rPr>
              <w:rFonts w:ascii="Verdana" w:hAnsi="Verdana"/>
              <w:i/>
              <w:sz w:val="16"/>
              <w:szCs w:val="16"/>
            </w:rPr>
            <w:t>.</w:t>
          </w:r>
        </w:p>
      </w:tc>
    </w:tr>
  </w:tbl>
  <w:p w:rsidR="00843AAB" w:rsidRPr="0030197E" w:rsidRDefault="00CC5508" w:rsidP="00843AAB">
    <w:pPr>
      <w:pStyle w:val="Footer"/>
      <w:framePr w:wrap="around" w:vAnchor="text" w:hAnchor="page" w:x="5748" w:y="246"/>
      <w:rPr>
        <w:rStyle w:val="PageNumber"/>
        <w:rFonts w:ascii="Verdana" w:hAnsi="Verdana"/>
        <w:sz w:val="16"/>
      </w:rPr>
    </w:pPr>
    <w:r w:rsidRPr="0030197E">
      <w:rPr>
        <w:rStyle w:val="PageNumber"/>
        <w:rFonts w:ascii="Verdana" w:hAnsi="Verdana"/>
        <w:sz w:val="18"/>
      </w:rPr>
      <w:fldChar w:fldCharType="begin"/>
    </w:r>
    <w:r w:rsidR="002A48FF" w:rsidRPr="0030197E">
      <w:rPr>
        <w:rStyle w:val="PageNumber"/>
        <w:rFonts w:ascii="Verdana" w:hAnsi="Verdana"/>
        <w:sz w:val="18"/>
      </w:rPr>
      <w:instrText xml:space="preserve">PAGE  </w:instrText>
    </w:r>
    <w:r w:rsidRPr="0030197E">
      <w:rPr>
        <w:rStyle w:val="PageNumber"/>
        <w:rFonts w:ascii="Verdana" w:hAnsi="Verdana"/>
        <w:sz w:val="18"/>
      </w:rPr>
      <w:fldChar w:fldCharType="separate"/>
    </w:r>
    <w:r w:rsidR="00046E2D">
      <w:rPr>
        <w:rStyle w:val="PageNumber"/>
        <w:rFonts w:ascii="Verdana" w:hAnsi="Verdana"/>
        <w:noProof/>
        <w:sz w:val="18"/>
      </w:rPr>
      <w:t>515</w:t>
    </w:r>
    <w:r w:rsidRPr="0030197E">
      <w:rPr>
        <w:rStyle w:val="PageNumber"/>
        <w:rFonts w:ascii="Verdana" w:hAnsi="Verdana"/>
        <w:sz w:val="18"/>
      </w:rPr>
      <w:fldChar w:fldCharType="end"/>
    </w:r>
  </w:p>
  <w:p w:rsidR="003D67B9" w:rsidRDefault="001256BB">
    <w:pPr>
      <w:pStyle w:val="Footer"/>
      <w:ind w:right="360"/>
    </w:pPr>
  </w:p>
  <w:p w:rsidR="00511A83" w:rsidRDefault="00511A83" w:rsidP="00B8203C">
    <w:pPr>
      <w:pStyle w:val="DSLxStyle"/>
      <w:numPr>
        <w:ilvl w:val="0"/>
        <w:numId w:val="0"/>
      </w:numPr>
      <w:ind w:lef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A83" w:rsidRDefault="00511A83">
    <w:pPr>
      <w:pStyle w:val="Footer"/>
    </w:pPr>
  </w:p>
  <w:p w:rsidR="00511A83" w:rsidRDefault="00511A83" w:rsidP="00511A83">
    <w:pPr>
      <w:pStyle w:val="DSLxSty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6BB" w:rsidRDefault="001256BB">
      <w:r>
        <w:separator/>
      </w:r>
    </w:p>
  </w:footnote>
  <w:footnote w:type="continuationSeparator" w:id="0">
    <w:p w:rsidR="001256BB" w:rsidRDefault="0012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1854"/>
      <w:gridCol w:w="900"/>
      <w:gridCol w:w="1794"/>
      <w:gridCol w:w="2126"/>
      <w:gridCol w:w="1843"/>
    </w:tblGrid>
    <w:tr w:rsidR="003D67B9" w:rsidTr="00986E3A">
      <w:trPr>
        <w:cantSplit/>
        <w:trHeight w:val="699"/>
      </w:trPr>
      <w:tc>
        <w:tcPr>
          <w:tcW w:w="1690" w:type="dxa"/>
          <w:vMerge w:val="restart"/>
          <w:vAlign w:val="center"/>
        </w:tcPr>
        <w:p w:rsidR="003D67B9" w:rsidRPr="00FF6FAA" w:rsidRDefault="002A48FF" w:rsidP="00A35CD2">
          <w:pPr>
            <w:pStyle w:val="Header"/>
          </w:pPr>
          <w:r w:rsidRPr="00D85E31">
            <w:rPr>
              <w:noProof/>
              <w:lang w:val="en-US" w:eastAsia="en-US"/>
            </w:rPr>
            <w:drawing>
              <wp:inline distT="0" distB="0" distL="0" distR="0">
                <wp:extent cx="876300" cy="514350"/>
                <wp:effectExtent l="0" t="0" r="0" b="0"/>
                <wp:docPr id="1" name="Picture 1" descr="logo novo para 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ovo para 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4" w:type="dxa"/>
          <w:gridSpan w:val="4"/>
        </w:tcPr>
        <w:p w:rsidR="00CB6140" w:rsidRDefault="002A48FF" w:rsidP="00CB6140">
          <w:pPr>
            <w:pStyle w:val="Heading3"/>
            <w:numPr>
              <w:ilvl w:val="0"/>
              <w:numId w:val="0"/>
            </w:numPr>
            <w:spacing w:before="0" w:after="0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Manual de Normas e Procedimentos</w:t>
          </w:r>
        </w:p>
        <w:p w:rsidR="0042787A" w:rsidRPr="0042787A" w:rsidRDefault="00E91B6D" w:rsidP="0042787A">
          <w:pPr>
            <w:pStyle w:val="Heading3"/>
            <w:numPr>
              <w:ilvl w:val="0"/>
              <w:numId w:val="0"/>
            </w:numPr>
            <w:spacing w:before="0" w:after="0"/>
            <w:jc w:val="center"/>
          </w:pPr>
          <w:r>
            <w:t>Ouvidoria</w:t>
          </w:r>
        </w:p>
      </w:tc>
      <w:tc>
        <w:tcPr>
          <w:tcW w:w="1843" w:type="dxa"/>
        </w:tcPr>
        <w:p w:rsidR="003D67B9" w:rsidRDefault="002A48FF" w:rsidP="0046585F">
          <w:pPr>
            <w:pStyle w:val="Header"/>
            <w:spacing w:before="0" w:after="0"/>
            <w:jc w:val="left"/>
          </w:pPr>
          <w:r>
            <w:rPr>
              <w:b/>
            </w:rPr>
            <w:t>Nº:</w:t>
          </w:r>
          <w:r>
            <w:rPr>
              <w:b/>
            </w:rPr>
            <w:br/>
          </w:r>
          <w:r w:rsidR="00773185">
            <w:t>NG GAI</w:t>
          </w:r>
          <w:r w:rsidR="00E91B6D">
            <w:t xml:space="preserve"> 03</w:t>
          </w:r>
        </w:p>
      </w:tc>
    </w:tr>
    <w:tr w:rsidR="003D67B9" w:rsidTr="00986E3A">
      <w:trPr>
        <w:cantSplit/>
        <w:trHeight w:val="558"/>
      </w:trPr>
      <w:tc>
        <w:tcPr>
          <w:tcW w:w="1690" w:type="dxa"/>
          <w:vMerge/>
        </w:tcPr>
        <w:p w:rsidR="003D67B9" w:rsidRPr="00FF6FAA" w:rsidRDefault="001256BB">
          <w:pPr>
            <w:pStyle w:val="Header"/>
          </w:pPr>
        </w:p>
      </w:tc>
      <w:tc>
        <w:tcPr>
          <w:tcW w:w="1854" w:type="dxa"/>
        </w:tcPr>
        <w:p w:rsidR="003D67B9" w:rsidRPr="00986E3A" w:rsidRDefault="002A48FF" w:rsidP="00733F4D">
          <w:pPr>
            <w:pStyle w:val="Header"/>
            <w:spacing w:before="0" w:after="0"/>
            <w:jc w:val="left"/>
            <w:rPr>
              <w:b/>
              <w:sz w:val="16"/>
            </w:rPr>
          </w:pPr>
          <w:r w:rsidRPr="00986E3A">
            <w:rPr>
              <w:b/>
              <w:sz w:val="16"/>
            </w:rPr>
            <w:t>Data elaboração:</w:t>
          </w:r>
          <w:r w:rsidRPr="00986E3A">
            <w:rPr>
              <w:b/>
              <w:sz w:val="16"/>
            </w:rPr>
            <w:br/>
          </w:r>
          <w:r w:rsidR="00046E2D">
            <w:rPr>
              <w:sz w:val="16"/>
            </w:rPr>
            <w:t>08/12</w:t>
          </w:r>
          <w:r>
            <w:rPr>
              <w:sz w:val="16"/>
            </w:rPr>
            <w:t>/</w:t>
          </w:r>
          <w:r w:rsidR="00046E2D">
            <w:rPr>
              <w:sz w:val="16"/>
            </w:rPr>
            <w:t>20</w:t>
          </w:r>
          <w:r>
            <w:rPr>
              <w:sz w:val="16"/>
            </w:rPr>
            <w:t>17</w:t>
          </w:r>
        </w:p>
      </w:tc>
      <w:tc>
        <w:tcPr>
          <w:tcW w:w="900" w:type="dxa"/>
        </w:tcPr>
        <w:p w:rsidR="003D67B9" w:rsidRPr="00986E3A" w:rsidRDefault="002A48FF" w:rsidP="00BC74EB">
          <w:pPr>
            <w:pStyle w:val="Header"/>
            <w:spacing w:before="0" w:after="0"/>
            <w:rPr>
              <w:b/>
              <w:sz w:val="16"/>
            </w:rPr>
          </w:pPr>
          <w:r w:rsidRPr="00986E3A">
            <w:rPr>
              <w:b/>
              <w:sz w:val="16"/>
            </w:rPr>
            <w:t>Versão:</w:t>
          </w:r>
          <w:r w:rsidRPr="00986E3A">
            <w:rPr>
              <w:b/>
              <w:sz w:val="16"/>
            </w:rPr>
            <w:br/>
          </w:r>
          <w:r>
            <w:rPr>
              <w:sz w:val="16"/>
            </w:rPr>
            <w:t>1</w:t>
          </w:r>
          <w:r w:rsidRPr="00986E3A">
            <w:rPr>
              <w:sz w:val="16"/>
            </w:rPr>
            <w:t>.</w:t>
          </w:r>
          <w:r>
            <w:rPr>
              <w:sz w:val="16"/>
            </w:rPr>
            <w:t>0</w:t>
          </w:r>
        </w:p>
      </w:tc>
      <w:tc>
        <w:tcPr>
          <w:tcW w:w="1794" w:type="dxa"/>
        </w:tcPr>
        <w:p w:rsidR="003D67B9" w:rsidRPr="00986E3A" w:rsidRDefault="002A48FF" w:rsidP="00733F4D">
          <w:pPr>
            <w:pStyle w:val="Header"/>
            <w:spacing w:before="0" w:after="0"/>
            <w:jc w:val="left"/>
            <w:rPr>
              <w:b/>
              <w:sz w:val="16"/>
            </w:rPr>
          </w:pPr>
          <w:r w:rsidRPr="00986E3A">
            <w:rPr>
              <w:b/>
              <w:sz w:val="16"/>
            </w:rPr>
            <w:t>Autor:</w:t>
          </w:r>
          <w:r w:rsidRPr="00986E3A">
            <w:rPr>
              <w:b/>
              <w:sz w:val="16"/>
            </w:rPr>
            <w:br/>
          </w:r>
          <w:r>
            <w:rPr>
              <w:sz w:val="16"/>
            </w:rPr>
            <w:t>PwC</w:t>
          </w:r>
        </w:p>
      </w:tc>
      <w:tc>
        <w:tcPr>
          <w:tcW w:w="2126" w:type="dxa"/>
        </w:tcPr>
        <w:p w:rsidR="003D67B9" w:rsidRPr="00D81AAD" w:rsidRDefault="002A48FF" w:rsidP="00733F4D">
          <w:pPr>
            <w:pStyle w:val="Header"/>
            <w:spacing w:before="0" w:after="0"/>
            <w:jc w:val="left"/>
            <w:rPr>
              <w:b/>
              <w:sz w:val="16"/>
              <w:highlight w:val="yellow"/>
            </w:rPr>
          </w:pPr>
          <w:r w:rsidRPr="00191D42">
            <w:rPr>
              <w:b/>
              <w:sz w:val="16"/>
            </w:rPr>
            <w:t>Revisado por:</w:t>
          </w:r>
          <w:r w:rsidRPr="00D81AAD">
            <w:rPr>
              <w:b/>
              <w:sz w:val="16"/>
              <w:highlight w:val="yellow"/>
            </w:rPr>
            <w:br/>
          </w:r>
          <w:r w:rsidR="00773185">
            <w:rPr>
              <w:sz w:val="16"/>
            </w:rPr>
            <w:t>José Marcos Miziara Filho</w:t>
          </w:r>
        </w:p>
      </w:tc>
      <w:tc>
        <w:tcPr>
          <w:tcW w:w="1843" w:type="dxa"/>
        </w:tcPr>
        <w:p w:rsidR="00D81AAD" w:rsidRPr="00191D42" w:rsidRDefault="002A48FF" w:rsidP="00733F4D">
          <w:pPr>
            <w:pStyle w:val="Header"/>
            <w:spacing w:before="0" w:after="0"/>
            <w:jc w:val="left"/>
            <w:rPr>
              <w:b/>
              <w:sz w:val="16"/>
            </w:rPr>
          </w:pPr>
          <w:r w:rsidRPr="00191D42">
            <w:rPr>
              <w:b/>
              <w:sz w:val="16"/>
            </w:rPr>
            <w:t>Última revisão:</w:t>
          </w:r>
        </w:p>
        <w:p w:rsidR="003D67B9" w:rsidRPr="00191D42" w:rsidRDefault="00046E2D" w:rsidP="00733F4D">
          <w:pPr>
            <w:pStyle w:val="Header"/>
            <w:spacing w:before="0" w:after="0"/>
            <w:jc w:val="left"/>
            <w:rPr>
              <w:sz w:val="16"/>
            </w:rPr>
          </w:pPr>
          <w:r>
            <w:rPr>
              <w:sz w:val="16"/>
            </w:rPr>
            <w:t>08/12</w:t>
          </w:r>
          <w:r w:rsidR="002A48FF" w:rsidRPr="00191D42">
            <w:rPr>
              <w:sz w:val="16"/>
            </w:rPr>
            <w:t>/2017</w:t>
          </w:r>
        </w:p>
      </w:tc>
    </w:tr>
  </w:tbl>
  <w:p w:rsidR="003D67B9" w:rsidRDefault="00125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C8"/>
    <w:multiLevelType w:val="multilevel"/>
    <w:tmpl w:val="903CB256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8D248E"/>
    <w:multiLevelType w:val="hybridMultilevel"/>
    <w:tmpl w:val="A91E79DC"/>
    <w:lvl w:ilvl="0" w:tplc="CBFE8C58">
      <w:start w:val="1"/>
      <w:numFmt w:val="lowerRoman"/>
      <w:lvlText w:val="%1)"/>
      <w:lvlJc w:val="left"/>
      <w:pPr>
        <w:ind w:left="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1F366E3"/>
    <w:multiLevelType w:val="hybridMultilevel"/>
    <w:tmpl w:val="557AB970"/>
    <w:lvl w:ilvl="0" w:tplc="04160001">
      <w:start w:val="1"/>
      <w:numFmt w:val="bullet"/>
      <w:lvlText w:val=""/>
      <w:lvlJc w:val="left"/>
      <w:pPr>
        <w:tabs>
          <w:tab w:val="num" w:pos="3779"/>
        </w:tabs>
        <w:ind w:left="3779" w:hanging="360"/>
      </w:pPr>
      <w:rPr>
        <w:rFonts w:ascii="Symbol" w:hAnsi="Symbol" w:hint="default"/>
      </w:rPr>
    </w:lvl>
    <w:lvl w:ilvl="1" w:tplc="33AE1A32">
      <w:start w:val="1"/>
      <w:numFmt w:val="lowerLetter"/>
      <w:lvlText w:val="%2)"/>
      <w:lvlJc w:val="left"/>
      <w:pPr>
        <w:tabs>
          <w:tab w:val="num" w:pos="1778"/>
        </w:tabs>
        <w:ind w:left="1701" w:hanging="283"/>
      </w:pPr>
      <w:rPr>
        <w:rFonts w:hint="default"/>
      </w:rPr>
    </w:lvl>
    <w:lvl w:ilvl="2" w:tplc="33AE1A32">
      <w:start w:val="1"/>
      <w:numFmt w:val="lowerLetter"/>
      <w:lvlText w:val="%3)"/>
      <w:lvlJc w:val="left"/>
      <w:pPr>
        <w:tabs>
          <w:tab w:val="num" w:pos="2782"/>
        </w:tabs>
        <w:ind w:left="2705" w:hanging="283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2"/>
        </w:tabs>
        <w:ind w:left="47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2"/>
        </w:tabs>
        <w:ind w:left="6922" w:hanging="180"/>
      </w:pPr>
    </w:lvl>
  </w:abstractNum>
  <w:abstractNum w:abstractNumId="3" w15:restartNumberingAfterBreak="0">
    <w:nsid w:val="07D64AF9"/>
    <w:multiLevelType w:val="multilevel"/>
    <w:tmpl w:val="FC18C356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5E5BA4"/>
    <w:multiLevelType w:val="multilevel"/>
    <w:tmpl w:val="F14C9C64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A90E48"/>
    <w:multiLevelType w:val="hybridMultilevel"/>
    <w:tmpl w:val="D324B0C0"/>
    <w:lvl w:ilvl="0" w:tplc="0416000F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FA27A94"/>
    <w:multiLevelType w:val="hybridMultilevel"/>
    <w:tmpl w:val="480C6876"/>
    <w:lvl w:ilvl="0" w:tplc="E82C8BB0">
      <w:numFmt w:val="bullet"/>
      <w:lvlText w:val="•"/>
      <w:lvlJc w:val="left"/>
      <w:pPr>
        <w:ind w:left="66" w:hanging="360"/>
      </w:pPr>
      <w:rPr>
        <w:rFonts w:ascii="Verdana" w:eastAsia="Times New Roman" w:hAnsi="Verdana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7" w15:restartNumberingAfterBreak="0">
    <w:nsid w:val="0FFB3A3D"/>
    <w:multiLevelType w:val="multilevel"/>
    <w:tmpl w:val="62E8CB10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017765D"/>
    <w:multiLevelType w:val="multilevel"/>
    <w:tmpl w:val="F40636B2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3" w:hanging="78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46" w:hanging="7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178E5340"/>
    <w:multiLevelType w:val="multilevel"/>
    <w:tmpl w:val="32C4E6BE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483CF5"/>
    <w:multiLevelType w:val="hybridMultilevel"/>
    <w:tmpl w:val="BD8E747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626916"/>
    <w:multiLevelType w:val="hybridMultilevel"/>
    <w:tmpl w:val="94B8EE00"/>
    <w:lvl w:ilvl="0" w:tplc="0416000F">
      <w:start w:val="1"/>
      <w:numFmt w:val="decimal"/>
      <w:lvlText w:val="%1."/>
      <w:lvlJc w:val="left"/>
      <w:pPr>
        <w:ind w:left="426" w:hanging="360"/>
      </w:p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2F9700DF"/>
    <w:multiLevelType w:val="hybridMultilevel"/>
    <w:tmpl w:val="2B3610C2"/>
    <w:lvl w:ilvl="0" w:tplc="86F4AA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15F3"/>
    <w:multiLevelType w:val="hybridMultilevel"/>
    <w:tmpl w:val="5E02FAAE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47827F04"/>
    <w:multiLevelType w:val="multilevel"/>
    <w:tmpl w:val="B3229FCE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BFA6AF7"/>
    <w:multiLevelType w:val="multilevel"/>
    <w:tmpl w:val="9158433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C1E71B6"/>
    <w:multiLevelType w:val="multilevel"/>
    <w:tmpl w:val="7B481F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17" w15:restartNumberingAfterBreak="0">
    <w:nsid w:val="5A471E28"/>
    <w:multiLevelType w:val="multilevel"/>
    <w:tmpl w:val="3E0A537C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C532539"/>
    <w:multiLevelType w:val="multilevel"/>
    <w:tmpl w:val="9DE614A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pStyle w:val="DSLxStyle"/>
      <w:isLgl/>
      <w:suff w:val="space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0880128"/>
    <w:multiLevelType w:val="multilevel"/>
    <w:tmpl w:val="97204BA2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E15DF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0C4BB7"/>
    <w:multiLevelType w:val="multilevel"/>
    <w:tmpl w:val="E5A0D140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FB41695"/>
    <w:multiLevelType w:val="hybridMultilevel"/>
    <w:tmpl w:val="FDDE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95E76"/>
    <w:multiLevelType w:val="hybridMultilevel"/>
    <w:tmpl w:val="2266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33B90"/>
    <w:multiLevelType w:val="multilevel"/>
    <w:tmpl w:val="22383880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3" w:hanging="78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46" w:hanging="7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20"/>
  </w:num>
  <w:num w:numId="9">
    <w:abstractNumId w:val="13"/>
  </w:num>
  <w:num w:numId="10">
    <w:abstractNumId w:val="5"/>
  </w:num>
  <w:num w:numId="11">
    <w:abstractNumId w:val="16"/>
  </w:num>
  <w:num w:numId="12">
    <w:abstractNumId w:val="22"/>
  </w:num>
  <w:num w:numId="13">
    <w:abstractNumId w:val="10"/>
  </w:num>
  <w:num w:numId="14">
    <w:abstractNumId w:val="2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4"/>
    </w:lvlOverride>
    <w:lvlOverride w:ilvl="1">
      <w:startOverride w:val="2"/>
    </w:lvlOverride>
    <w:lvlOverride w:ilvl="2">
      <w:startOverride w:val="10"/>
    </w:lvlOverride>
  </w:num>
  <w:num w:numId="17">
    <w:abstractNumId w:val="21"/>
  </w:num>
  <w:num w:numId="18">
    <w:abstractNumId w:val="0"/>
  </w:num>
  <w:num w:numId="19">
    <w:abstractNumId w:val="7"/>
  </w:num>
  <w:num w:numId="20">
    <w:abstractNumId w:val="17"/>
  </w:num>
  <w:num w:numId="21">
    <w:abstractNumId w:val="9"/>
  </w:num>
  <w:num w:numId="22">
    <w:abstractNumId w:val="4"/>
  </w:num>
  <w:num w:numId="23">
    <w:abstractNumId w:val="19"/>
  </w:num>
  <w:num w:numId="24">
    <w:abstractNumId w:val="3"/>
  </w:num>
  <w:num w:numId="25">
    <w:abstractNumId w:val="24"/>
  </w:num>
  <w:num w:numId="26">
    <w:abstractNumId w:val="8"/>
  </w:num>
  <w:num w:numId="2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324"/>
    <w:rsid w:val="00045D1B"/>
    <w:rsid w:val="00046E2D"/>
    <w:rsid w:val="000A7E07"/>
    <w:rsid w:val="001045F0"/>
    <w:rsid w:val="00111B31"/>
    <w:rsid w:val="001256BB"/>
    <w:rsid w:val="00127CA8"/>
    <w:rsid w:val="00162FCC"/>
    <w:rsid w:val="001D3C9D"/>
    <w:rsid w:val="00281F94"/>
    <w:rsid w:val="002A48FF"/>
    <w:rsid w:val="00315D5D"/>
    <w:rsid w:val="003239FB"/>
    <w:rsid w:val="00350F97"/>
    <w:rsid w:val="003602E4"/>
    <w:rsid w:val="0037398E"/>
    <w:rsid w:val="00395E51"/>
    <w:rsid w:val="003B2247"/>
    <w:rsid w:val="003E142C"/>
    <w:rsid w:val="003E2324"/>
    <w:rsid w:val="003F43B2"/>
    <w:rsid w:val="0042787A"/>
    <w:rsid w:val="004A71A9"/>
    <w:rsid w:val="00511A83"/>
    <w:rsid w:val="00600B2E"/>
    <w:rsid w:val="00605719"/>
    <w:rsid w:val="00613DC1"/>
    <w:rsid w:val="00624501"/>
    <w:rsid w:val="006410DE"/>
    <w:rsid w:val="00736F5F"/>
    <w:rsid w:val="00766D46"/>
    <w:rsid w:val="00773185"/>
    <w:rsid w:val="00810060"/>
    <w:rsid w:val="00852978"/>
    <w:rsid w:val="00895E31"/>
    <w:rsid w:val="008B7D26"/>
    <w:rsid w:val="008E71D4"/>
    <w:rsid w:val="009014EE"/>
    <w:rsid w:val="009106D0"/>
    <w:rsid w:val="00957D52"/>
    <w:rsid w:val="0096764D"/>
    <w:rsid w:val="00A026B6"/>
    <w:rsid w:val="00A103FB"/>
    <w:rsid w:val="00B17581"/>
    <w:rsid w:val="00B8203C"/>
    <w:rsid w:val="00BA2D2B"/>
    <w:rsid w:val="00BB2449"/>
    <w:rsid w:val="00BD55BD"/>
    <w:rsid w:val="00C50713"/>
    <w:rsid w:val="00C706E0"/>
    <w:rsid w:val="00CC5508"/>
    <w:rsid w:val="00CD163E"/>
    <w:rsid w:val="00D6240F"/>
    <w:rsid w:val="00D93F5C"/>
    <w:rsid w:val="00E91B6D"/>
    <w:rsid w:val="00ED1136"/>
    <w:rsid w:val="00ED29FB"/>
    <w:rsid w:val="00FC1380"/>
    <w:rsid w:val="00F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6F977C"/>
  <w15:docId w15:val="{789B4587-EBFF-4BFE-8190-422BF71C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B9"/>
    <w:rPr>
      <w:sz w:val="24"/>
      <w:szCs w:val="24"/>
    </w:rPr>
  </w:style>
  <w:style w:type="paragraph" w:styleId="Heading1">
    <w:name w:val="heading 1"/>
    <w:basedOn w:val="Normal"/>
    <w:next w:val="Normal"/>
    <w:qFormat/>
    <w:rsid w:val="003D67B9"/>
    <w:pPr>
      <w:spacing w:before="360" w:after="120" w:line="360" w:lineRule="auto"/>
      <w:jc w:val="both"/>
      <w:outlineLvl w:val="0"/>
    </w:pPr>
    <w:rPr>
      <w:rFonts w:ascii="Verdana" w:hAnsi="Verdana"/>
      <w:b/>
      <w:szCs w:val="20"/>
    </w:rPr>
  </w:style>
  <w:style w:type="paragraph" w:styleId="Heading2">
    <w:name w:val="heading 2"/>
    <w:basedOn w:val="Normal"/>
    <w:next w:val="Normal"/>
    <w:qFormat/>
    <w:rsid w:val="003D67B9"/>
    <w:pPr>
      <w:keepNext/>
      <w:numPr>
        <w:ilvl w:val="1"/>
        <w:numId w:val="1"/>
      </w:numPr>
      <w:spacing w:before="360" w:after="240"/>
      <w:outlineLvl w:val="1"/>
    </w:pPr>
    <w:rPr>
      <w:rFonts w:ascii="Verdana" w:hAnsi="Verdana"/>
      <w:b/>
      <w:sz w:val="20"/>
      <w:szCs w:val="20"/>
    </w:rPr>
  </w:style>
  <w:style w:type="paragraph" w:styleId="Heading3">
    <w:name w:val="heading 3"/>
    <w:basedOn w:val="Heading2"/>
    <w:next w:val="Normal"/>
    <w:qFormat/>
    <w:rsid w:val="003D67B9"/>
    <w:pPr>
      <w:tabs>
        <w:tab w:val="num" w:pos="360"/>
      </w:tabs>
      <w:spacing w:before="120"/>
      <w:outlineLvl w:val="2"/>
    </w:pPr>
    <w:rPr>
      <w:b w:val="0"/>
      <w:i/>
    </w:rPr>
  </w:style>
  <w:style w:type="paragraph" w:styleId="Heading4">
    <w:name w:val="heading 4"/>
    <w:basedOn w:val="Normal"/>
    <w:next w:val="Normal"/>
    <w:qFormat/>
    <w:rsid w:val="003D67B9"/>
    <w:pPr>
      <w:keepNext/>
      <w:numPr>
        <w:ilvl w:val="3"/>
        <w:numId w:val="1"/>
      </w:numPr>
      <w:spacing w:before="60" w:after="60"/>
      <w:jc w:val="center"/>
      <w:outlineLvl w:val="3"/>
    </w:pPr>
    <w:rPr>
      <w:rFonts w:ascii="Verdana" w:hAnsi="Verdana"/>
      <w:sz w:val="44"/>
      <w:szCs w:val="20"/>
    </w:rPr>
  </w:style>
  <w:style w:type="paragraph" w:styleId="Heading5">
    <w:name w:val="heading 5"/>
    <w:basedOn w:val="Normal"/>
    <w:next w:val="Normal"/>
    <w:qFormat/>
    <w:rsid w:val="003D67B9"/>
    <w:pPr>
      <w:keepNext/>
      <w:numPr>
        <w:ilvl w:val="4"/>
        <w:numId w:val="1"/>
      </w:numPr>
      <w:spacing w:before="60" w:after="60"/>
      <w:jc w:val="center"/>
      <w:outlineLvl w:val="4"/>
    </w:pPr>
    <w:rPr>
      <w:rFonts w:ascii="Verdana" w:hAnsi="Verdana"/>
      <w:sz w:val="36"/>
      <w:szCs w:val="20"/>
    </w:rPr>
  </w:style>
  <w:style w:type="paragraph" w:styleId="Heading6">
    <w:name w:val="heading 6"/>
    <w:basedOn w:val="Normal"/>
    <w:next w:val="Normal"/>
    <w:qFormat/>
    <w:rsid w:val="003D67B9"/>
    <w:pPr>
      <w:keepNext/>
      <w:numPr>
        <w:ilvl w:val="5"/>
        <w:numId w:val="1"/>
      </w:numPr>
      <w:spacing w:before="60" w:after="60"/>
      <w:jc w:val="center"/>
      <w:outlineLvl w:val="5"/>
    </w:pPr>
    <w:rPr>
      <w:rFonts w:ascii="Verdana" w:hAnsi="Verdana"/>
      <w:sz w:val="52"/>
      <w:szCs w:val="20"/>
    </w:rPr>
  </w:style>
  <w:style w:type="paragraph" w:styleId="Heading7">
    <w:name w:val="heading 7"/>
    <w:basedOn w:val="Normal"/>
    <w:next w:val="Normal"/>
    <w:qFormat/>
    <w:rsid w:val="003D67B9"/>
    <w:pPr>
      <w:keepNext/>
      <w:numPr>
        <w:ilvl w:val="6"/>
        <w:numId w:val="1"/>
      </w:numPr>
      <w:spacing w:before="60" w:after="60"/>
      <w:jc w:val="both"/>
      <w:outlineLvl w:val="6"/>
    </w:pPr>
    <w:rPr>
      <w:rFonts w:ascii="Verdana" w:hAnsi="Verdana"/>
      <w:b/>
      <w:szCs w:val="20"/>
    </w:rPr>
  </w:style>
  <w:style w:type="paragraph" w:styleId="Heading8">
    <w:name w:val="heading 8"/>
    <w:basedOn w:val="Normal"/>
    <w:next w:val="Normal"/>
    <w:qFormat/>
    <w:rsid w:val="003D67B9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3D67B9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D67B9"/>
    <w:pPr>
      <w:jc w:val="both"/>
    </w:pPr>
  </w:style>
  <w:style w:type="paragraph" w:styleId="Footer">
    <w:name w:val="footer"/>
    <w:basedOn w:val="Normal"/>
    <w:semiHidden/>
    <w:rsid w:val="003D67B9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semiHidden/>
    <w:rsid w:val="003D67B9"/>
  </w:style>
  <w:style w:type="character" w:styleId="Hyperlink">
    <w:name w:val="Hyperlink"/>
    <w:basedOn w:val="DefaultParagraphFont"/>
    <w:semiHidden/>
    <w:rsid w:val="003D67B9"/>
    <w:rPr>
      <w:color w:val="0000FF"/>
      <w:u w:val="single"/>
    </w:rPr>
  </w:style>
  <w:style w:type="paragraph" w:styleId="BodyText2">
    <w:name w:val="Body Text 2"/>
    <w:basedOn w:val="Normal"/>
    <w:semiHidden/>
    <w:rsid w:val="003D67B9"/>
    <w:pPr>
      <w:autoSpaceDE w:val="0"/>
      <w:autoSpaceDN w:val="0"/>
      <w:adjustRightInd w:val="0"/>
      <w:spacing w:line="240" w:lineRule="atLeast"/>
    </w:pPr>
    <w:rPr>
      <w:rFonts w:ascii="Helv" w:hAnsi="Helv"/>
      <w:color w:val="0000FF"/>
      <w:sz w:val="20"/>
      <w:szCs w:val="20"/>
    </w:rPr>
  </w:style>
  <w:style w:type="paragraph" w:styleId="Header">
    <w:name w:val="header"/>
    <w:basedOn w:val="Normal"/>
    <w:semiHidden/>
    <w:rsid w:val="003D67B9"/>
    <w:pPr>
      <w:tabs>
        <w:tab w:val="center" w:pos="4419"/>
        <w:tab w:val="right" w:pos="8838"/>
      </w:tabs>
      <w:spacing w:before="60" w:after="60"/>
      <w:jc w:val="both"/>
    </w:pPr>
    <w:rPr>
      <w:rFonts w:ascii="Verdana" w:hAnsi="Verdana"/>
      <w:sz w:val="20"/>
      <w:szCs w:val="20"/>
    </w:rPr>
  </w:style>
  <w:style w:type="paragraph" w:styleId="BodyText3">
    <w:name w:val="Body Text 3"/>
    <w:basedOn w:val="Normal"/>
    <w:semiHidden/>
    <w:rsid w:val="003D67B9"/>
    <w:rPr>
      <w:rFonts w:ascii="Verdana" w:hAnsi="Verdana" w:cs="Arial"/>
      <w:sz w:val="20"/>
    </w:rPr>
  </w:style>
  <w:style w:type="paragraph" w:styleId="BodyTextIndent">
    <w:name w:val="Body Text Indent"/>
    <w:basedOn w:val="Normal"/>
    <w:semiHidden/>
    <w:rsid w:val="003D67B9"/>
    <w:pPr>
      <w:ind w:left="263" w:hanging="263"/>
    </w:pPr>
    <w:rPr>
      <w:rFonts w:ascii="Verdana" w:hAnsi="Verdana" w:cs="Arial"/>
      <w:sz w:val="20"/>
    </w:rPr>
  </w:style>
  <w:style w:type="character" w:styleId="FollowedHyperlink">
    <w:name w:val="FollowedHyperlink"/>
    <w:basedOn w:val="DefaultParagraphFont"/>
    <w:semiHidden/>
    <w:rsid w:val="003D67B9"/>
    <w:rPr>
      <w:color w:val="800080"/>
      <w:u w:val="single"/>
    </w:rPr>
  </w:style>
  <w:style w:type="paragraph" w:customStyle="1" w:styleId="CabealhodoSumrio1">
    <w:name w:val="Cabeçalho do Sumário1"/>
    <w:basedOn w:val="Heading1"/>
    <w:next w:val="Normal"/>
    <w:semiHidden/>
    <w:unhideWhenUsed/>
    <w:qFormat/>
    <w:rsid w:val="003D67B9"/>
    <w:pPr>
      <w:keepNext/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semiHidden/>
    <w:unhideWhenUsed/>
    <w:qFormat/>
    <w:rsid w:val="003D67B9"/>
  </w:style>
  <w:style w:type="paragraph" w:styleId="TOC2">
    <w:name w:val="toc 2"/>
    <w:basedOn w:val="Normal"/>
    <w:next w:val="Normal"/>
    <w:autoRedefine/>
    <w:semiHidden/>
    <w:unhideWhenUsed/>
    <w:qFormat/>
    <w:rsid w:val="003D67B9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semiHidden/>
    <w:unhideWhenUsed/>
    <w:qFormat/>
    <w:rsid w:val="003D67B9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unhideWhenUsed/>
    <w:rsid w:val="003D67B9"/>
    <w:rPr>
      <w:rFonts w:ascii="Tahoma" w:hAnsi="Tahoma" w:cs="Wingdings"/>
      <w:sz w:val="16"/>
      <w:szCs w:val="16"/>
    </w:rPr>
  </w:style>
  <w:style w:type="character" w:customStyle="1" w:styleId="TextodebaloChar">
    <w:name w:val="Texto de balão Char"/>
    <w:basedOn w:val="DefaultParagraphFont"/>
    <w:semiHidden/>
    <w:rsid w:val="003D67B9"/>
    <w:rPr>
      <w:rFonts w:ascii="Tahoma" w:hAnsi="Tahoma" w:cs="Wingdings"/>
      <w:sz w:val="16"/>
      <w:szCs w:val="16"/>
    </w:rPr>
  </w:style>
  <w:style w:type="character" w:customStyle="1" w:styleId="mandatory1">
    <w:name w:val="mandatory1"/>
    <w:basedOn w:val="DefaultParagraphFont"/>
    <w:rsid w:val="003D67B9"/>
    <w:rPr>
      <w:rFonts w:ascii="Arial" w:hAnsi="Arial" w:cs="Arial" w:hint="default"/>
      <w:b/>
      <w:bCs/>
      <w:strike w:val="0"/>
      <w:dstrike w:val="0"/>
      <w:color w:val="FF0000"/>
      <w:sz w:val="16"/>
      <w:szCs w:val="16"/>
      <w:u w:val="none"/>
      <w:effect w:val="none"/>
    </w:rPr>
  </w:style>
  <w:style w:type="character" w:styleId="CommentReference">
    <w:name w:val="annotation reference"/>
    <w:basedOn w:val="DefaultParagraphFont"/>
    <w:semiHidden/>
    <w:rsid w:val="003D67B9"/>
    <w:rPr>
      <w:sz w:val="16"/>
      <w:szCs w:val="16"/>
    </w:rPr>
  </w:style>
  <w:style w:type="paragraph" w:styleId="CommentText">
    <w:name w:val="annotation text"/>
    <w:basedOn w:val="Normal"/>
    <w:semiHidden/>
    <w:rsid w:val="003D67B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D67B9"/>
    <w:rPr>
      <w:b/>
      <w:bCs/>
    </w:rPr>
  </w:style>
  <w:style w:type="paragraph" w:styleId="ListParagraph">
    <w:name w:val="List Paragraph"/>
    <w:basedOn w:val="Normal"/>
    <w:link w:val="ListParagraphChar"/>
    <w:qFormat/>
    <w:rsid w:val="005845CF"/>
    <w:pPr>
      <w:ind w:left="720"/>
      <w:contextualSpacing/>
    </w:pPr>
  </w:style>
  <w:style w:type="table" w:styleId="TableGrid">
    <w:name w:val="Table Grid"/>
    <w:basedOn w:val="TableNormal"/>
    <w:rsid w:val="0084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4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lockText">
    <w:name w:val="Block Text"/>
    <w:basedOn w:val="Normal"/>
    <w:rsid w:val="00844BD6"/>
    <w:pPr>
      <w:tabs>
        <w:tab w:val="left" w:pos="1701"/>
        <w:tab w:val="left" w:pos="10348"/>
      </w:tabs>
      <w:ind w:left="284" w:right="334"/>
      <w:jc w:val="both"/>
    </w:pPr>
    <w:rPr>
      <w:szCs w:val="20"/>
    </w:rPr>
  </w:style>
  <w:style w:type="paragraph" w:customStyle="1" w:styleId="qowt-li-21294247621">
    <w:name w:val="qowt-li-2129424762_1"/>
    <w:basedOn w:val="Normal"/>
    <w:rsid w:val="00C91A97"/>
    <w:pPr>
      <w:spacing w:before="100" w:beforeAutospacing="1" w:after="100" w:afterAutospacing="1"/>
    </w:pPr>
    <w:rPr>
      <w:lang w:val="en-US" w:eastAsia="en-US"/>
    </w:rPr>
  </w:style>
  <w:style w:type="character" w:customStyle="1" w:styleId="qowt-font3-arial">
    <w:name w:val="qowt-font3-arial"/>
    <w:basedOn w:val="DefaultParagraphFont"/>
    <w:rsid w:val="00C91A97"/>
  </w:style>
  <w:style w:type="paragraph" w:customStyle="1" w:styleId="qowt-stl-normal">
    <w:name w:val="qowt-stl-normal"/>
    <w:basedOn w:val="Normal"/>
    <w:rsid w:val="00C91A97"/>
    <w:pPr>
      <w:spacing w:before="100" w:beforeAutospacing="1" w:after="100" w:afterAutospacing="1"/>
    </w:pPr>
    <w:rPr>
      <w:lang w:val="en-US" w:eastAsia="en-US"/>
    </w:rPr>
  </w:style>
  <w:style w:type="character" w:customStyle="1" w:styleId="qowt-font8-georgia">
    <w:name w:val="qowt-font8-georgia"/>
    <w:basedOn w:val="DefaultParagraphFont"/>
    <w:rsid w:val="00CB486A"/>
  </w:style>
  <w:style w:type="paragraph" w:styleId="NormalWeb">
    <w:name w:val="Normal (Web)"/>
    <w:basedOn w:val="Normal"/>
    <w:uiPriority w:val="99"/>
    <w:unhideWhenUsed/>
    <w:rsid w:val="00762420"/>
    <w:pPr>
      <w:spacing w:before="100" w:beforeAutospacing="1" w:after="100" w:afterAutospacing="1"/>
    </w:pPr>
    <w:rPr>
      <w:lang w:val="en-US" w:eastAsia="en-US"/>
    </w:rPr>
  </w:style>
  <w:style w:type="paragraph" w:customStyle="1" w:styleId="qowt-li-120">
    <w:name w:val="qowt-li-12_0"/>
    <w:basedOn w:val="Normal"/>
    <w:rsid w:val="00AA2B2D"/>
    <w:pPr>
      <w:spacing w:before="100" w:beforeAutospacing="1" w:after="100" w:afterAutospacing="1"/>
    </w:pPr>
    <w:rPr>
      <w:lang w:val="en-US" w:eastAsia="en-US"/>
    </w:rPr>
  </w:style>
  <w:style w:type="paragraph" w:customStyle="1" w:styleId="qowt-li-160">
    <w:name w:val="qowt-li-16_0"/>
    <w:basedOn w:val="Normal"/>
    <w:rsid w:val="00067E6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rsid w:val="003E142C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sid w:val="003E142C"/>
    <w:rPr>
      <w:i/>
      <w:color w:val="4F81BD"/>
    </w:rPr>
  </w:style>
  <w:style w:type="paragraph" w:customStyle="1" w:styleId="DSLxStyle">
    <w:name w:val="DSLxStyle"/>
    <w:basedOn w:val="ListParagraph"/>
    <w:link w:val="DSLxStyleChar"/>
    <w:rsid w:val="00511A83"/>
    <w:pPr>
      <w:numPr>
        <w:ilvl w:val="2"/>
        <w:numId w:val="2"/>
      </w:numPr>
      <w:spacing w:line="360" w:lineRule="auto"/>
      <w:ind w:left="0" w:firstLine="0"/>
      <w:jc w:val="right"/>
    </w:pPr>
    <w:rPr>
      <w:rFonts w:ascii="Verdana" w:hAnsi="Verdana"/>
      <w:color w:val="666666"/>
      <w:sz w:val="12"/>
    </w:rPr>
  </w:style>
  <w:style w:type="character" w:customStyle="1" w:styleId="ListParagraphChar">
    <w:name w:val="List Paragraph Char"/>
    <w:basedOn w:val="DefaultParagraphFont"/>
    <w:link w:val="ListParagraph"/>
    <w:rsid w:val="00511A83"/>
    <w:rPr>
      <w:sz w:val="24"/>
      <w:szCs w:val="24"/>
    </w:rPr>
  </w:style>
  <w:style w:type="character" w:customStyle="1" w:styleId="DSLxStyleChar">
    <w:name w:val="DSLxStyle Char"/>
    <w:basedOn w:val="ListParagraphChar"/>
    <w:link w:val="DSLxStyle"/>
    <w:rsid w:val="00511A83"/>
    <w:rPr>
      <w:rFonts w:ascii="Verdana" w:hAnsi="Verdana"/>
      <w:color w:val="666666"/>
      <w:sz w:val="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6D5C-E790-413A-83C2-52DA7503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PO CRE 0002</vt:lpstr>
      <vt:lpstr>PO CRE 0002</vt:lpstr>
    </vt:vector>
  </TitlesOfParts>
  <Company>Natura Cosmeticos SA</Company>
  <LinksUpToDate>false</LinksUpToDate>
  <CharactersWithSpaces>6028</CharactersWithSpaces>
  <SharedDoc>false</SharedDoc>
  <HLinks>
    <vt:vector size="12" baseType="variant">
      <vt:variant>
        <vt:i4>3473517</vt:i4>
      </vt:variant>
      <vt:variant>
        <vt:i4>0</vt:i4>
      </vt:variant>
      <vt:variant>
        <vt:i4>0</vt:i4>
      </vt:variant>
      <vt:variant>
        <vt:i4>5</vt:i4>
      </vt:variant>
      <vt:variant>
        <vt:lpwstr>http://as3k21br:53100/RE/index.jsp</vt:lpwstr>
      </vt:variant>
      <vt:variant>
        <vt:lpwstr/>
      </vt:variant>
      <vt:variant>
        <vt:i4>720909</vt:i4>
      </vt:variant>
      <vt:variant>
        <vt:i4>8422</vt:i4>
      </vt:variant>
      <vt:variant>
        <vt:i4>1025</vt:i4>
      </vt:variant>
      <vt:variant>
        <vt:i4>1</vt:i4>
      </vt:variant>
      <vt:variant>
        <vt:lpwstr>logogray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CRE 0002</dc:title>
  <dc:subject>Política de Homologação de Marcas</dc:subject>
  <dc:creator>Grupo SBF</dc:creator>
  <cp:lastModifiedBy>Juliana Santos</cp:lastModifiedBy>
  <cp:revision>6</cp:revision>
  <dcterms:created xsi:type="dcterms:W3CDTF">2018-01-18T21:20:00Z</dcterms:created>
  <dcterms:modified xsi:type="dcterms:W3CDTF">2018-04-18T13:48:00Z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SDCxCLASSFICATION_LEVEL">
    <vt:lpwstr>1</vt:lpwstr>
  </property>
  <property fmtid="{D5CDD505-2E9C-101B-9397-08002B2CF9AE}" pid="3" name="SSDCxCLASSFICATION_USER">
    <vt:lpwstr>SOACAT\307864</vt:lpwstr>
  </property>
  <property fmtid="{D5CDD505-2E9C-101B-9397-08002B2CF9AE}" pid="4" name="SSDCxCLASSFICATION_DATE">
    <vt:lpwstr>17/10/2017 15:30:30</vt:lpwstr>
  </property>
  <property fmtid="{D5CDD505-2E9C-101B-9397-08002B2CF9AE}" pid="5" name="SSDCxCLASSFICATION_GUID">
    <vt:lpwstr>47AFF6B9B3254F75A819C123FC7F2FDE</vt:lpwstr>
  </property>
  <property fmtid="{D5CDD505-2E9C-101B-9397-08002B2CF9AE}" pid="6" name="SSDCxCLASSFICATION_LANG">
    <vt:lpwstr>pt</vt:lpwstr>
  </property>
</Properties>
</file>