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93" w:rsidRPr="00633D20" w:rsidRDefault="00F86593" w:rsidP="00C40927">
      <w:pPr>
        <w:pStyle w:val="ListParagraph"/>
        <w:numPr>
          <w:ilvl w:val="0"/>
          <w:numId w:val="2"/>
        </w:numPr>
        <w:spacing w:afterLines="240" w:after="576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633D20">
        <w:rPr>
          <w:rFonts w:ascii="Verdana" w:hAnsi="Verdana"/>
          <w:b/>
          <w:sz w:val="20"/>
          <w:szCs w:val="20"/>
        </w:rPr>
        <w:t>Objetivo</w:t>
      </w:r>
    </w:p>
    <w:p w:rsidR="00F86593" w:rsidRPr="00633D20" w:rsidRDefault="00F86593" w:rsidP="00C4092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Estabelecer diretrizes, procedimentos, fluxos e competências para que todas as áreas da São Paulo Turismo cumpram o Capítulo III – Da Transparência Ativa do Decreto Municipal 53.623/2012, Lei Federal nº 12.527/2011, Decreto Municipal 54.779/2014, Decreto Municipal 56.519/2015 e Portaria Inter secretarial 03/2014, a fim de disponibilizar informações no Portal da Transparência, facilitando o acesso à informação pública.</w:t>
      </w:r>
    </w:p>
    <w:p w:rsidR="00F86593" w:rsidRPr="00633D20" w:rsidRDefault="00F86593" w:rsidP="00C4092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F86593" w:rsidRPr="00633D20" w:rsidRDefault="00F86593" w:rsidP="00C4092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633D20">
        <w:rPr>
          <w:rFonts w:ascii="Verdana" w:hAnsi="Verdana"/>
          <w:b/>
          <w:sz w:val="20"/>
          <w:szCs w:val="20"/>
        </w:rPr>
        <w:t>Abrangência</w:t>
      </w:r>
    </w:p>
    <w:p w:rsidR="00F86593" w:rsidRPr="00633D20" w:rsidRDefault="00F86593" w:rsidP="00C4092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As definições, diretrizes e demais orientações introduzidas por esta norma aplicam-se a todas as diretorias e áreas da São Paulo Turismo.</w:t>
      </w:r>
    </w:p>
    <w:p w:rsidR="00F86593" w:rsidRPr="00633D20" w:rsidRDefault="00F86593" w:rsidP="00C4092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F86593" w:rsidRPr="00633D20" w:rsidRDefault="00F86593" w:rsidP="00C4092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633D20">
        <w:rPr>
          <w:rFonts w:ascii="Verdana" w:hAnsi="Verdana"/>
          <w:b/>
          <w:sz w:val="20"/>
          <w:szCs w:val="20"/>
        </w:rPr>
        <w:t>Definições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CAR:</w:t>
      </w:r>
      <w:r w:rsidRPr="00633D20">
        <w:rPr>
          <w:rFonts w:ascii="Verdana" w:hAnsi="Verdana"/>
          <w:sz w:val="20"/>
          <w:szCs w:val="20"/>
        </w:rPr>
        <w:t xml:space="preserve"> Coordenadoria de Arrecadação de Estacionamento.  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CDI:</w:t>
      </w:r>
      <w:r w:rsidRPr="00633D20">
        <w:rPr>
          <w:rFonts w:ascii="Verdana" w:hAnsi="Verdana"/>
          <w:sz w:val="20"/>
          <w:szCs w:val="20"/>
        </w:rPr>
        <w:t xml:space="preserve"> Compromisso de Desempenho Institucional.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CI:</w:t>
      </w:r>
      <w:r w:rsidRPr="00633D20">
        <w:rPr>
          <w:rFonts w:ascii="Verdana" w:hAnsi="Verdana"/>
          <w:sz w:val="20"/>
          <w:szCs w:val="20"/>
        </w:rPr>
        <w:t xml:space="preserve"> Correspondência Interna.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Comodato:</w:t>
      </w:r>
      <w:r w:rsidRPr="00633D20">
        <w:rPr>
          <w:rFonts w:ascii="Verdana" w:hAnsi="Verdana"/>
          <w:sz w:val="20"/>
          <w:szCs w:val="20"/>
        </w:rPr>
        <w:t xml:space="preserve"> Empréstimo gratuito de bens móveis ou imóveis em que, por convenção das partes, alguém (comodante) cede para outro alguém (comodatário) o direito de uso temporário desse bem, devendo o uso ser feito conforme estabelecido previamente no contrato. O comodante guarda a propriedade da coisa e o comodatário adquire a posse. O comodante geralmente é o proprietário ou o usufrutuário. Ao final do período de vigência, o bem em comodato deve ser restituído, não podendo ser devolvido outro bem que não aquele que foi originalmente cedido pelo comodante.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COMTUR:</w:t>
      </w:r>
      <w:r w:rsidRPr="00633D20">
        <w:rPr>
          <w:rFonts w:ascii="Verdana" w:hAnsi="Verdana"/>
          <w:sz w:val="20"/>
          <w:szCs w:val="20"/>
        </w:rPr>
        <w:t xml:space="preserve"> Conselho Municipal de Turismo da Cidade de São Paulo.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CVM:</w:t>
      </w:r>
      <w:r w:rsidRPr="00633D20">
        <w:rPr>
          <w:rFonts w:ascii="Verdana" w:hAnsi="Verdana"/>
          <w:sz w:val="20"/>
          <w:szCs w:val="20"/>
        </w:rPr>
        <w:t xml:space="preserve"> Comissão de Valores Mobiliários.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DAF:</w:t>
      </w:r>
      <w:r w:rsidRPr="00633D20">
        <w:rPr>
          <w:rFonts w:ascii="Verdana" w:hAnsi="Verdana"/>
          <w:sz w:val="20"/>
          <w:szCs w:val="20"/>
        </w:rPr>
        <w:t xml:space="preserve"> Diretoria Administrativo</w:t>
      </w:r>
      <w:r>
        <w:rPr>
          <w:rFonts w:ascii="Verdana" w:hAnsi="Verdana"/>
          <w:sz w:val="20"/>
          <w:szCs w:val="20"/>
        </w:rPr>
        <w:t>-</w:t>
      </w:r>
      <w:r w:rsidRPr="00633D20">
        <w:rPr>
          <w:rFonts w:ascii="Verdana" w:hAnsi="Verdana"/>
          <w:sz w:val="20"/>
          <w:szCs w:val="20"/>
        </w:rPr>
        <w:t>Financeira e de Relação com Investimento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DIE:</w:t>
      </w:r>
      <w:r w:rsidRPr="00633D20">
        <w:rPr>
          <w:rFonts w:ascii="Verdana" w:hAnsi="Verdana"/>
          <w:sz w:val="20"/>
          <w:szCs w:val="20"/>
        </w:rPr>
        <w:t xml:space="preserve"> Diretoria de Infraestrutura.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DMV:</w:t>
      </w:r>
      <w:r w:rsidRPr="00633D20">
        <w:rPr>
          <w:rFonts w:ascii="Verdana" w:hAnsi="Verdana"/>
          <w:sz w:val="20"/>
          <w:szCs w:val="20"/>
        </w:rPr>
        <w:t xml:space="preserve"> Diretoria de Marketing e Vendas.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Doações</w:t>
      </w:r>
      <w:r w:rsidRPr="00633D20">
        <w:rPr>
          <w:rFonts w:ascii="Verdana" w:hAnsi="Verdana"/>
          <w:sz w:val="20"/>
          <w:szCs w:val="20"/>
        </w:rPr>
        <w:t>: Ato de transferir gratuitamente para a administração municipal, de forma legal, bem, quantia, imóvel ou serviços que constituíam objeto de propriedade ou patrimônio de pessoa física ou jurídica privada.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DPR:</w:t>
      </w:r>
      <w:r w:rsidRPr="00633D20">
        <w:rPr>
          <w:rFonts w:ascii="Verdana" w:hAnsi="Verdana"/>
          <w:sz w:val="20"/>
          <w:szCs w:val="20"/>
        </w:rPr>
        <w:t xml:space="preserve"> </w:t>
      </w:r>
      <w:r w:rsidRPr="00B67CF2">
        <w:rPr>
          <w:rFonts w:ascii="Verdana" w:hAnsi="Verdana"/>
          <w:sz w:val="20"/>
          <w:szCs w:val="20"/>
        </w:rPr>
        <w:t>Diretoria</w:t>
      </w:r>
      <w:r w:rsidRPr="00633D20">
        <w:rPr>
          <w:rFonts w:ascii="Verdana" w:hAnsi="Verdana"/>
          <w:sz w:val="20"/>
          <w:szCs w:val="20"/>
        </w:rPr>
        <w:t xml:space="preserve"> Presidência.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DRE:</w:t>
      </w:r>
      <w:r w:rsidRPr="00633D20">
        <w:rPr>
          <w:rFonts w:ascii="Verdana" w:hAnsi="Verdana"/>
          <w:sz w:val="20"/>
          <w:szCs w:val="20"/>
        </w:rPr>
        <w:t xml:space="preserve"> Diretoria de Representação dos Empregados.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DTU:</w:t>
      </w:r>
      <w:r w:rsidRPr="00633D20">
        <w:rPr>
          <w:rFonts w:ascii="Verdana" w:hAnsi="Verdana"/>
          <w:sz w:val="20"/>
          <w:szCs w:val="20"/>
        </w:rPr>
        <w:t xml:space="preserve"> Diretoria de Turismo.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e-SIC:</w:t>
      </w:r>
      <w:r w:rsidRPr="00633D20">
        <w:rPr>
          <w:rFonts w:ascii="Verdana" w:hAnsi="Verdana"/>
          <w:sz w:val="20"/>
          <w:szCs w:val="20"/>
        </w:rPr>
        <w:t xml:space="preserve"> Sistema Eletrônico do Serviço de Informação ao Cidadão - Sistema que centraliza as entradas e saídas de todos os pedidos de acesso dirigidos à Prefeitura Municipal de São Paulo. O objetivo do e-SIC é organizar e facilitar os procedimentos de acesso à informação tanto para os cidadãos quanto para a Administração Pública.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GAI:</w:t>
      </w:r>
      <w:r w:rsidRPr="00633D20">
        <w:rPr>
          <w:rFonts w:ascii="Verdana" w:hAnsi="Verdana"/>
          <w:sz w:val="20"/>
          <w:szCs w:val="20"/>
        </w:rPr>
        <w:t xml:space="preserve"> Gerência de Auditoria e Controle Interno.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GCO:</w:t>
      </w:r>
      <w:r w:rsidRPr="00633D20">
        <w:rPr>
          <w:rFonts w:ascii="Verdana" w:hAnsi="Verdana"/>
          <w:sz w:val="20"/>
          <w:szCs w:val="20"/>
        </w:rPr>
        <w:t xml:space="preserve"> Gerência de Compras e Contratos.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GDC:</w:t>
      </w:r>
      <w:r w:rsidRPr="00633D20">
        <w:rPr>
          <w:rFonts w:ascii="Verdana" w:hAnsi="Verdana"/>
          <w:sz w:val="20"/>
          <w:szCs w:val="20"/>
        </w:rPr>
        <w:t xml:space="preserve"> Gerência de Controladoria.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Gerente:</w:t>
      </w:r>
      <w:r w:rsidRPr="00633D20">
        <w:rPr>
          <w:rFonts w:ascii="Verdana" w:hAnsi="Verdana"/>
          <w:sz w:val="20"/>
          <w:szCs w:val="20"/>
        </w:rPr>
        <w:t xml:space="preserve"> Pessoa que responde pela Gerência.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Gestor:</w:t>
      </w:r>
      <w:r w:rsidRPr="00633D20">
        <w:rPr>
          <w:rFonts w:ascii="Verdana" w:hAnsi="Verdana"/>
          <w:sz w:val="20"/>
          <w:szCs w:val="20"/>
        </w:rPr>
        <w:t xml:space="preserve"> Pessoa designada a assumir determinada atividade. Seja ela gerente, coordenador, supervisor ou pessoa designada pelo gerente ou diretor da área.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GRH:</w:t>
      </w:r>
      <w:r w:rsidRPr="00633D20">
        <w:rPr>
          <w:rFonts w:ascii="Verdana" w:hAnsi="Verdana"/>
          <w:sz w:val="20"/>
          <w:szCs w:val="20"/>
        </w:rPr>
        <w:t xml:space="preserve"> Gerência de Recursos Humanos.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GTD:</w:t>
      </w:r>
      <w:r w:rsidRPr="00633D20">
        <w:rPr>
          <w:rFonts w:ascii="Verdana" w:hAnsi="Verdana"/>
          <w:sz w:val="20"/>
          <w:szCs w:val="20"/>
        </w:rPr>
        <w:t xml:space="preserve"> Gerência Técnica Desportiva do Autódromo de Interlagos.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GTI:</w:t>
      </w:r>
      <w:r w:rsidRPr="00633D20">
        <w:rPr>
          <w:rFonts w:ascii="Verdana" w:hAnsi="Verdana"/>
          <w:sz w:val="20"/>
          <w:szCs w:val="20"/>
        </w:rPr>
        <w:t xml:space="preserve"> Gerência de Tecnologia da Informação.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Informações:</w:t>
      </w:r>
      <w:r w:rsidRPr="00633D20">
        <w:rPr>
          <w:rFonts w:ascii="Verdana" w:hAnsi="Verdana"/>
          <w:sz w:val="20"/>
          <w:szCs w:val="20"/>
        </w:rPr>
        <w:t xml:space="preserve"> De acordo com o art. 4º, inciso I, da Lei Federal nº 12.527/2011, informações são dados, processados ou não, que podem ser utilizados para produção e transmissão de conhecimento, registrados em qualquer suporte ou formato.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lastRenderedPageBreak/>
        <w:t>OUV:</w:t>
      </w:r>
      <w:r w:rsidRPr="00633D20">
        <w:rPr>
          <w:rFonts w:ascii="Verdana" w:hAnsi="Verdana"/>
          <w:sz w:val="20"/>
          <w:szCs w:val="20"/>
        </w:rPr>
        <w:t xml:space="preserve"> Ouvidoria </w:t>
      </w:r>
      <w:r w:rsidRPr="00B67CF2">
        <w:rPr>
          <w:rFonts w:ascii="Verdana" w:hAnsi="Verdana"/>
          <w:sz w:val="20"/>
          <w:szCs w:val="20"/>
        </w:rPr>
        <w:t>da SP Turismo</w:t>
      </w:r>
      <w:r w:rsidRPr="00633D20">
        <w:rPr>
          <w:rFonts w:ascii="Verdana" w:hAnsi="Verdana"/>
          <w:sz w:val="20"/>
          <w:szCs w:val="20"/>
        </w:rPr>
        <w:t>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Portal da Transparência:</w:t>
      </w:r>
      <w:r w:rsidRPr="00633D20">
        <w:rPr>
          <w:rFonts w:ascii="Verdana" w:hAnsi="Verdana"/>
          <w:sz w:val="20"/>
          <w:szCs w:val="20"/>
        </w:rPr>
        <w:t xml:space="preserve"> é uma plataforma agregadora de diferentes dados e informações sobre a São Paulo Turismo.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B67CF2">
        <w:rPr>
          <w:rFonts w:ascii="Verdana" w:hAnsi="Verdana"/>
          <w:sz w:val="20"/>
          <w:szCs w:val="20"/>
          <w:u w:val="single"/>
        </w:rPr>
        <w:t>SOC:</w:t>
      </w:r>
      <w:r w:rsidRPr="00B67CF2">
        <w:rPr>
          <w:rFonts w:ascii="Verdana" w:hAnsi="Verdana"/>
          <w:sz w:val="20"/>
          <w:szCs w:val="20"/>
        </w:rPr>
        <w:t xml:space="preserve"> Secretaria de Órgãos Colegiados</w:t>
      </w:r>
      <w:r w:rsidRPr="00633D20">
        <w:rPr>
          <w:rFonts w:ascii="Verdana" w:hAnsi="Verdana"/>
          <w:sz w:val="20"/>
          <w:szCs w:val="20"/>
        </w:rPr>
        <w:t>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Termo de Cooperação:</w:t>
      </w:r>
      <w:r w:rsidRPr="00633D20">
        <w:rPr>
          <w:rFonts w:ascii="Verdana" w:hAnsi="Verdana"/>
          <w:sz w:val="20"/>
          <w:szCs w:val="20"/>
        </w:rPr>
        <w:t xml:space="preserve"> Parcerias para melhorias urbanas, paisagísticas e ambientais ou projetos, obras, serviços, ações e intervenções, relativos a bens públicos municipais e a bens privados tombados em caráter provisório ou definitivo ou preservados nos termos de legislação municipal, estadual e federal pertinente.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  <w:u w:val="single"/>
        </w:rPr>
        <w:t>Transparência Ativa:</w:t>
      </w:r>
      <w:r w:rsidRPr="00633D20">
        <w:rPr>
          <w:rFonts w:ascii="Verdana" w:hAnsi="Verdana"/>
          <w:sz w:val="20"/>
          <w:szCs w:val="20"/>
        </w:rPr>
        <w:t xml:space="preserve"> Divulgação, independentemente de solicitações, de informações de interesse geral ou coletivo, salvo aquelas cuja confidencialidade esteja prevista no texto legal, pelos órgãos e entidades públicas.</w:t>
      </w:r>
    </w:p>
    <w:p w:rsidR="00F86593" w:rsidRPr="00633D20" w:rsidRDefault="00F86593" w:rsidP="00C4092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sz w:val="20"/>
          <w:szCs w:val="20"/>
        </w:rPr>
      </w:pPr>
    </w:p>
    <w:p w:rsidR="00F86593" w:rsidRPr="00633D20" w:rsidRDefault="00F86593" w:rsidP="00C4092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33D20">
        <w:rPr>
          <w:rFonts w:ascii="Verdana" w:hAnsi="Verdana"/>
          <w:b/>
          <w:sz w:val="20"/>
          <w:szCs w:val="20"/>
        </w:rPr>
        <w:t>Diretrizes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33D20">
        <w:rPr>
          <w:rFonts w:ascii="Verdana" w:hAnsi="Verdana"/>
          <w:b/>
          <w:sz w:val="20"/>
          <w:szCs w:val="20"/>
        </w:rPr>
        <w:t>Ouvidoria (OUV)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Todo processo para divulgação das informações da Transparência no Portal da São Paulo Turismo deverá ser iniciado pela emissão de uma CI (Correspondência Interna) destinada à OUV</w:t>
      </w:r>
      <w:r>
        <w:rPr>
          <w:rFonts w:ascii="Verdana" w:hAnsi="Verdana"/>
          <w:sz w:val="20"/>
          <w:szCs w:val="20"/>
        </w:rPr>
        <w:t>,</w:t>
      </w:r>
      <w:r w:rsidRPr="00633D20">
        <w:rPr>
          <w:rFonts w:ascii="Verdana" w:hAnsi="Verdana"/>
          <w:sz w:val="20"/>
          <w:szCs w:val="20"/>
        </w:rPr>
        <w:t xml:space="preserve"> ou por meio de e-mail para ouvidoria@spturis.com.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As informações da Transparência somente devem ser divulgadas no Portal após o envio da CI que deve ser assinada pelo Gerente da área ou por e-mail</w:t>
      </w:r>
      <w:r>
        <w:rPr>
          <w:rFonts w:ascii="Verdana" w:hAnsi="Verdana"/>
          <w:sz w:val="20"/>
          <w:szCs w:val="20"/>
        </w:rPr>
        <w:t>,</w:t>
      </w:r>
      <w:r w:rsidRPr="00633D20">
        <w:rPr>
          <w:rFonts w:ascii="Verdana" w:hAnsi="Verdana"/>
          <w:sz w:val="20"/>
          <w:szCs w:val="20"/>
        </w:rPr>
        <w:t xml:space="preserve"> que deve ser enviado pelo Gestor das informações para o endereço ouvidoria@spturis.com.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 xml:space="preserve">Caso a área </w:t>
      </w:r>
      <w:r>
        <w:rPr>
          <w:rFonts w:ascii="Verdana" w:hAnsi="Verdana"/>
          <w:sz w:val="20"/>
          <w:szCs w:val="20"/>
        </w:rPr>
        <w:t>p</w:t>
      </w:r>
      <w:r w:rsidRPr="00633D20">
        <w:rPr>
          <w:rFonts w:ascii="Verdana" w:hAnsi="Verdana"/>
          <w:sz w:val="20"/>
          <w:szCs w:val="20"/>
        </w:rPr>
        <w:t xml:space="preserve">ossua arquivos a anexar no Portal, </w:t>
      </w:r>
      <w:r>
        <w:rPr>
          <w:rFonts w:ascii="Verdana" w:hAnsi="Verdana"/>
          <w:sz w:val="20"/>
          <w:szCs w:val="20"/>
        </w:rPr>
        <w:t xml:space="preserve">estes </w:t>
      </w:r>
      <w:r w:rsidRPr="00633D20">
        <w:rPr>
          <w:rFonts w:ascii="Verdana" w:hAnsi="Verdana"/>
          <w:sz w:val="20"/>
          <w:szCs w:val="20"/>
        </w:rPr>
        <w:t>deverão ser enviad</w:t>
      </w:r>
      <w:r>
        <w:rPr>
          <w:rFonts w:ascii="Verdana" w:hAnsi="Verdana"/>
          <w:sz w:val="20"/>
          <w:szCs w:val="20"/>
        </w:rPr>
        <w:t>o</w:t>
      </w:r>
      <w:r w:rsidRPr="00633D20">
        <w:rPr>
          <w:rFonts w:ascii="Verdana" w:hAnsi="Verdana"/>
          <w:sz w:val="20"/>
          <w:szCs w:val="20"/>
        </w:rPr>
        <w:t xml:space="preserve">s para </w:t>
      </w:r>
      <w:hyperlink r:id="rId8" w:history="1">
        <w:r w:rsidRPr="00B43634">
          <w:rPr>
            <w:rStyle w:val="Hyperlink"/>
            <w:rFonts w:ascii="Verdana" w:hAnsi="Verdana"/>
            <w:sz w:val="20"/>
            <w:szCs w:val="20"/>
          </w:rPr>
          <w:t>ouvidoria@spturis.com</w:t>
        </w:r>
      </w:hyperlink>
      <w:r>
        <w:rPr>
          <w:rFonts w:ascii="Verdana" w:hAnsi="Verdana"/>
          <w:sz w:val="20"/>
          <w:szCs w:val="20"/>
        </w:rPr>
        <w:t>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Os arquivos deverão ser enviados em formato “.pdf”.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Após o recebimento da CI pela OUV, caso haja alguma correção a ser feita, será necessário o envio de outra CI substituindo a anterior ou e-mail do gestor, bem como deve ser efetuado o envio do novo arquivo em formato “.pdf” para inserir no Portal.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OUV deve ser a responsável pela inserção das informações no Portal.</w:t>
      </w:r>
    </w:p>
    <w:p w:rsidR="00F86593" w:rsidRPr="00633D20" w:rsidRDefault="00F86593" w:rsidP="00C4092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sz w:val="20"/>
          <w:szCs w:val="20"/>
        </w:rPr>
      </w:pP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33D20">
        <w:rPr>
          <w:rFonts w:ascii="Verdana" w:hAnsi="Verdana"/>
          <w:b/>
          <w:sz w:val="20"/>
          <w:szCs w:val="20"/>
        </w:rPr>
        <w:t>Competências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 xml:space="preserve"> </w:t>
      </w:r>
      <w:r w:rsidRPr="00B67CF2">
        <w:rPr>
          <w:rFonts w:ascii="Verdana" w:hAnsi="Verdana"/>
          <w:sz w:val="20"/>
          <w:szCs w:val="20"/>
        </w:rPr>
        <w:t xml:space="preserve">Diretoria </w:t>
      </w:r>
      <w:r w:rsidRPr="00633D20">
        <w:rPr>
          <w:rFonts w:ascii="Verdana" w:hAnsi="Verdana"/>
          <w:sz w:val="20"/>
          <w:szCs w:val="20"/>
        </w:rPr>
        <w:t>Presidência (DPR): A agenda do Presidente deve ser atualizada diariamente em sua conta do “Google Calendar” ou de suas secretárias. O Portal da Transparência será sincronizado com o “Google Calendar”. A atualização ocorrerá diariamente.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Diretoria de Marketing e Vendas (DMV): Os contratos de cessão de área (“locação”) não serão publicados a fim de respeitar uma de suas cláusulas de confidencialidade acerca de quaisquer informações ou conhecimentos técnicos, administrativos, comerciais ou industriais relativos aos negócios das partes, inclusive aqueles ligados à organização interna, clientela, contabilidade, contratos, orçamentos, marketing, vendas, sistemas de trabalho e tudo mais relacionado com elementos de caráter confidencial;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DMV deve atualizar a tabela de preços no site do Anhembi. O Portal da Transparência redirecionará o item tabela de preços para o site do Anhembi;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atualização da tabela de preços deve ocorrer em até 3</w:t>
      </w:r>
      <w:r>
        <w:rPr>
          <w:rFonts w:ascii="Verdana" w:hAnsi="Verdana"/>
          <w:sz w:val="20"/>
          <w:szCs w:val="20"/>
        </w:rPr>
        <w:t xml:space="preserve"> (três)</w:t>
      </w:r>
      <w:r w:rsidRPr="00633D20">
        <w:rPr>
          <w:rFonts w:ascii="Verdana" w:hAnsi="Verdana"/>
          <w:sz w:val="20"/>
          <w:szCs w:val="20"/>
        </w:rPr>
        <w:t xml:space="preserve"> dias úteis após qualquer alteração.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Gerência Técnica Desportiva do Autódromo de Interlagos (GTD): Os contratos de cessão de área (“locação”) não serão publicados a fim de respeitar uma de suas cláusulas de confidencialidade acerca de quaisquer informações ou conhecimentos técnicos, administrativos, comerciais ou industriais relativos aos negócios das partes, inclusive aqueles ligados à organização interna, clientela, contabilidade, contratos, orçamentos, marketing, vendas, sistemas de trabalho e tudo mais relacionado com elementos de caráter confidencial.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lastRenderedPageBreak/>
        <w:t>A GTD deve atualizar no Portal da Transparência os arquivos em formato “.pdf” dos contratos dos demais eventos;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atualização ocorrerá até o dia 10</w:t>
      </w:r>
      <w:r>
        <w:rPr>
          <w:rFonts w:ascii="Verdana" w:hAnsi="Verdana"/>
          <w:sz w:val="20"/>
          <w:szCs w:val="20"/>
        </w:rPr>
        <w:t xml:space="preserve"> (dez)</w:t>
      </w:r>
      <w:r w:rsidRPr="00633D20">
        <w:rPr>
          <w:rFonts w:ascii="Verdana" w:hAnsi="Verdana"/>
          <w:sz w:val="20"/>
          <w:szCs w:val="20"/>
        </w:rPr>
        <w:t xml:space="preserve"> do mês seguinte à assinatura do contrato.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GTD atualizará a tabela de preços no site do Autódromo. O Portal da Transparência redirecionará a tabela de preços para o site do Autódromo.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atualização da tabela de preços ocorrerá em até 3</w:t>
      </w:r>
      <w:r>
        <w:rPr>
          <w:rFonts w:ascii="Verdana" w:hAnsi="Verdana"/>
          <w:sz w:val="20"/>
          <w:szCs w:val="20"/>
        </w:rPr>
        <w:t xml:space="preserve"> (três)</w:t>
      </w:r>
      <w:r w:rsidRPr="00633D20">
        <w:rPr>
          <w:rFonts w:ascii="Verdana" w:hAnsi="Verdana"/>
          <w:sz w:val="20"/>
          <w:szCs w:val="20"/>
        </w:rPr>
        <w:t xml:space="preserve"> dias úteis após qualquer alteração.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B67CF2">
        <w:rPr>
          <w:rFonts w:ascii="Verdana" w:hAnsi="Verdana"/>
          <w:sz w:val="20"/>
          <w:szCs w:val="20"/>
        </w:rPr>
        <w:t>Secretaria de Órgãos Colegiados (SOC)</w:t>
      </w:r>
      <w:r w:rsidRPr="00633D20">
        <w:rPr>
          <w:rFonts w:ascii="Verdana" w:hAnsi="Verdana"/>
          <w:sz w:val="20"/>
          <w:szCs w:val="20"/>
        </w:rPr>
        <w:t xml:space="preserve">: A SOC deve enviar à OUV o arquivo em formato “.pdf” da composição do Conselho Fiscal e do Conselho de Administração, incluindo sua estrutura, contato, legislação, atas e mini currículo dos membros, Estatuto Social da SP Turismo e relação das </w:t>
      </w:r>
      <w:r w:rsidRPr="00B67CF2">
        <w:rPr>
          <w:rFonts w:ascii="Verdana" w:hAnsi="Verdana"/>
          <w:sz w:val="20"/>
          <w:szCs w:val="20"/>
        </w:rPr>
        <w:t>solicitações recebidas pelo e-SIC (Sistema Eletrônico do Serviço de Informação ao Cidadão</w:t>
      </w:r>
      <w:r>
        <w:rPr>
          <w:rFonts w:ascii="Verdana" w:hAnsi="Verdana"/>
          <w:sz w:val="20"/>
          <w:szCs w:val="20"/>
        </w:rPr>
        <w:t>)</w:t>
      </w:r>
      <w:r w:rsidRPr="00633D20">
        <w:rPr>
          <w:rFonts w:ascii="Verdana" w:hAnsi="Verdana"/>
          <w:sz w:val="20"/>
          <w:szCs w:val="20"/>
        </w:rPr>
        <w:t>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atualização deverá ser enviada à OUV até o dia 10</w:t>
      </w:r>
      <w:r>
        <w:rPr>
          <w:rFonts w:ascii="Verdana" w:hAnsi="Verdana"/>
          <w:sz w:val="20"/>
          <w:szCs w:val="20"/>
        </w:rPr>
        <w:t xml:space="preserve"> (dez)</w:t>
      </w:r>
      <w:r w:rsidRPr="00633D20">
        <w:rPr>
          <w:rFonts w:ascii="Verdana" w:hAnsi="Verdana"/>
          <w:sz w:val="20"/>
          <w:szCs w:val="20"/>
        </w:rPr>
        <w:t xml:space="preserve"> do mês subsequente.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Gerência de Compras e Contratos (GCO): A GCO deve atualizar o Portal da Transparência com todos os contratos das compras públicas, em formato “.pdf”. A atualização ocorrerá até o 10º dia útil do mês seguinte à assinatura do contrato ou aditamento.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Gerência de Recursos Humanos (GRH): A GRH enviará à OUV o arquivo em formato .pdf do organograma, da lista de colaboradores, da tabela de salários, do endereço e telefone das unidades, dos contratos e parcerias, folha de pagamento, mini currículo dos diretores e horário de trabalho, com entrada e saída dos servidores que lidam diretamente com atendimento ao público;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 xml:space="preserve">A atualização do organograma, lista de colaboradores, tabela de salários, endereço e telefone das unidades, contratos e parcerias, mini currículo dos diretores e horário de trabalho, com entrada e saída, dos servidores que lidam diretamente com atendimento ao público devem ser encaminhadas à OUV até o 5º </w:t>
      </w:r>
      <w:r>
        <w:rPr>
          <w:rFonts w:ascii="Verdana" w:hAnsi="Verdana"/>
          <w:sz w:val="20"/>
          <w:szCs w:val="20"/>
        </w:rPr>
        <w:t xml:space="preserve">(quinto) </w:t>
      </w:r>
      <w:r w:rsidRPr="00633D20">
        <w:rPr>
          <w:rFonts w:ascii="Verdana" w:hAnsi="Verdana"/>
          <w:sz w:val="20"/>
          <w:szCs w:val="20"/>
        </w:rPr>
        <w:t>dia útil de cada mês;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folha de pagamento deve ser enviada à OUV até o dia 15</w:t>
      </w:r>
      <w:r>
        <w:rPr>
          <w:rFonts w:ascii="Verdana" w:hAnsi="Verdana"/>
          <w:sz w:val="20"/>
          <w:szCs w:val="20"/>
        </w:rPr>
        <w:t xml:space="preserve"> (quinze)</w:t>
      </w:r>
      <w:r w:rsidRPr="00633D20">
        <w:rPr>
          <w:rFonts w:ascii="Verdana" w:hAnsi="Verdana"/>
          <w:sz w:val="20"/>
          <w:szCs w:val="20"/>
        </w:rPr>
        <w:t xml:space="preserve"> de cada mês.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 xml:space="preserve">Diretoria de Representação dos Empregados (DRE): A DRE enviará à OUV o arquivo em formato “.pdf” dos acordos, contratos e parcerias firmados. A atualização deve ocorrer até o dia 10 </w:t>
      </w:r>
      <w:r>
        <w:rPr>
          <w:rFonts w:ascii="Verdana" w:hAnsi="Verdana"/>
          <w:sz w:val="20"/>
          <w:szCs w:val="20"/>
        </w:rPr>
        <w:t xml:space="preserve">(dez) </w:t>
      </w:r>
      <w:r w:rsidRPr="00633D20">
        <w:rPr>
          <w:rFonts w:ascii="Verdana" w:hAnsi="Verdana"/>
          <w:sz w:val="20"/>
          <w:szCs w:val="20"/>
        </w:rPr>
        <w:t>do mês seguinte à assinatura do contrato ou do termo equivalente.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Diretoria de Infraestrutura (DIE): A deve enviar à OUV o arquivo em formato “.pdf” dos dados referentes aos contratos firmados através do termo de compromisso, contrato de repasse e convênio, contendo: o objeto, o número do contrato, empresa contratada, valor do contrato, valores medidos; percentual medido, valores pagos e status.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atualização deve ocorrer até o dia 10</w:t>
      </w:r>
      <w:r>
        <w:rPr>
          <w:rFonts w:ascii="Verdana" w:hAnsi="Verdana"/>
          <w:sz w:val="20"/>
          <w:szCs w:val="20"/>
        </w:rPr>
        <w:t xml:space="preserve"> (dez)</w:t>
      </w:r>
      <w:r w:rsidRPr="00633D20">
        <w:rPr>
          <w:rFonts w:ascii="Verdana" w:hAnsi="Verdana"/>
          <w:sz w:val="20"/>
          <w:szCs w:val="20"/>
        </w:rPr>
        <w:t xml:space="preserve"> do mês seguinte à assinatura do contrato ou do termo equivalente ou alteração do status.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Diretoria de Turismo (DTU): A DTU deve atualizar o Portal da Transparência com fotos referentes à contratação de serviços de buffet;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atualização deve ocorrer em até 10</w:t>
      </w:r>
      <w:r>
        <w:rPr>
          <w:rFonts w:ascii="Verdana" w:hAnsi="Verdana"/>
          <w:sz w:val="20"/>
          <w:szCs w:val="20"/>
        </w:rPr>
        <w:t xml:space="preserve"> (dez)</w:t>
      </w:r>
      <w:r w:rsidRPr="00633D20">
        <w:rPr>
          <w:rFonts w:ascii="Verdana" w:hAnsi="Verdana"/>
          <w:sz w:val="20"/>
          <w:szCs w:val="20"/>
        </w:rPr>
        <w:t xml:space="preserve"> dias úteis após a realização do evento. A DTU enviará à OUV o arquivo dos contratos com secretarias, parcerias, convênios firmados em formato “.pdf”;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atualização deve ser realizada em até o dia 10</w:t>
      </w:r>
      <w:r>
        <w:rPr>
          <w:rFonts w:ascii="Verdana" w:hAnsi="Verdana"/>
          <w:sz w:val="20"/>
          <w:szCs w:val="20"/>
        </w:rPr>
        <w:t xml:space="preserve"> (dez)</w:t>
      </w:r>
      <w:r w:rsidRPr="00633D20">
        <w:rPr>
          <w:rFonts w:ascii="Verdana" w:hAnsi="Verdana"/>
          <w:sz w:val="20"/>
          <w:szCs w:val="20"/>
        </w:rPr>
        <w:t xml:space="preserve"> do mês seguinte à assinatura do contrato ou do termo equivalente. A DTU deve enviar à OUV as atas das reuniões do COMTUR (Conselho Municipal de Turismo da Cidade de São Paulo) em formato “.pdf”. A atualização deve ocorrer em até 10</w:t>
      </w:r>
      <w:r>
        <w:rPr>
          <w:rFonts w:ascii="Verdana" w:hAnsi="Verdana"/>
          <w:sz w:val="20"/>
          <w:szCs w:val="20"/>
        </w:rPr>
        <w:t xml:space="preserve"> (dez)</w:t>
      </w:r>
      <w:r w:rsidRPr="00633D20">
        <w:rPr>
          <w:rFonts w:ascii="Verdana" w:hAnsi="Verdana"/>
          <w:sz w:val="20"/>
          <w:szCs w:val="20"/>
        </w:rPr>
        <w:t xml:space="preserve"> dias úteis após a realização da reunião.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lastRenderedPageBreak/>
        <w:t>Diretoria Administrativo-Financeira e de Relação com Investidores (DAF): A DAF deve enviar à OUV arquivo em formato “.pdf” do fluxo de caixa, balancete, CDI (Compromisso de Desempenho Institucional) e Relatório de Acompanhamento do CDI. A atualização do fluxo de caixa deve ocorrer até o 5º</w:t>
      </w:r>
      <w:r>
        <w:rPr>
          <w:rFonts w:ascii="Verdana" w:hAnsi="Verdana"/>
          <w:sz w:val="20"/>
          <w:szCs w:val="20"/>
        </w:rPr>
        <w:t xml:space="preserve"> (quinto)</w:t>
      </w:r>
      <w:r w:rsidRPr="00633D20">
        <w:rPr>
          <w:rFonts w:ascii="Verdana" w:hAnsi="Verdana"/>
          <w:sz w:val="20"/>
          <w:szCs w:val="20"/>
        </w:rPr>
        <w:t xml:space="preserve"> dia útil de cada mês. A atualização do balancete ocorrerá em até 3</w:t>
      </w:r>
      <w:r>
        <w:rPr>
          <w:rFonts w:ascii="Verdana" w:hAnsi="Verdana"/>
          <w:sz w:val="20"/>
          <w:szCs w:val="20"/>
        </w:rPr>
        <w:t xml:space="preserve"> (três)</w:t>
      </w:r>
      <w:r w:rsidRPr="00633D20">
        <w:rPr>
          <w:rFonts w:ascii="Verdana" w:hAnsi="Verdana"/>
          <w:sz w:val="20"/>
          <w:szCs w:val="20"/>
        </w:rPr>
        <w:t xml:space="preserve"> dias úteis após seu envio à CVM (Comissão de Valores Mobiliários). A atualização do CDI deve ocorrer bienalmente;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atualização do Relatório de Acompanhamento do CDI deve ocorrer semestralmente;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GDC (Gerência de Controladoria) deve atualizar no Portal a relação dos pagam</w:t>
      </w:r>
      <w:r>
        <w:rPr>
          <w:rFonts w:ascii="Verdana" w:hAnsi="Verdana"/>
          <w:sz w:val="20"/>
          <w:szCs w:val="20"/>
        </w:rPr>
        <w:t>entos realizados pela SP Turismo</w:t>
      </w:r>
      <w:r w:rsidRPr="00633D20">
        <w:rPr>
          <w:rFonts w:ascii="Verdana" w:hAnsi="Verdana"/>
          <w:sz w:val="20"/>
          <w:szCs w:val="20"/>
        </w:rPr>
        <w:t>. A atualização deve ocorrer até o dia 15</w:t>
      </w:r>
      <w:r>
        <w:rPr>
          <w:rFonts w:ascii="Verdana" w:hAnsi="Verdana"/>
          <w:sz w:val="20"/>
          <w:szCs w:val="20"/>
        </w:rPr>
        <w:t xml:space="preserve"> (quinze)</w:t>
      </w:r>
      <w:r w:rsidRPr="00633D20">
        <w:rPr>
          <w:rFonts w:ascii="Verdana" w:hAnsi="Verdana"/>
          <w:sz w:val="20"/>
          <w:szCs w:val="20"/>
        </w:rPr>
        <w:t xml:space="preserve"> de cada mês;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GDC deve atualizar, por meio da CAR (Coordenadoria de Arrecadação de Estacionamento), o Portal da Transparência com a quantidade de veículos e valor arrecadado, por data e nome do evento;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atualização deve ocorrer até o 10º dia útil do mês subsequente.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Gerência de Auditoria e Controle Interno (GAI): A Gerência de Auditoria e Controle Interno enviará a relação dos resultados de inspeções, auditorias, prestações e tomadas de contas realizadas pelos órgãos de controle interno, incluindo prestações de contas relativas a exercícios anteriores;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atualização ocorrerá em até 5</w:t>
      </w:r>
      <w:r>
        <w:rPr>
          <w:rFonts w:ascii="Verdana" w:hAnsi="Verdana"/>
          <w:sz w:val="20"/>
          <w:szCs w:val="20"/>
        </w:rPr>
        <w:t xml:space="preserve"> (cinco)</w:t>
      </w:r>
      <w:r w:rsidRPr="00633D20">
        <w:rPr>
          <w:rFonts w:ascii="Verdana" w:hAnsi="Verdana"/>
          <w:sz w:val="20"/>
          <w:szCs w:val="20"/>
        </w:rPr>
        <w:t xml:space="preserve"> dias úteis após a decisão da instância competente.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Gerência de Tecnologia da Informação (GTI): A GTI deve ser a responsável pelas providências necessárias para viabilizar o acesso ao sistema de gerenciamento dos conteúdos do Portal da Transparência bem como gerenciar eventuais problemas técnicos.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Todas as áreas: Todas as áreas deverão enviar à OUV o arquivo dos contratos vigentes de Doações, Comodatos e Cooperações firmados em formato “.pdf”;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 xml:space="preserve"> A atualização ocorrerá até o dia 10</w:t>
      </w:r>
      <w:r>
        <w:rPr>
          <w:rFonts w:ascii="Verdana" w:hAnsi="Verdana"/>
          <w:sz w:val="20"/>
          <w:szCs w:val="20"/>
        </w:rPr>
        <w:t xml:space="preserve"> (dez)</w:t>
      </w:r>
      <w:r w:rsidRPr="00633D20">
        <w:rPr>
          <w:rFonts w:ascii="Verdana" w:hAnsi="Verdana"/>
          <w:sz w:val="20"/>
          <w:szCs w:val="20"/>
        </w:rPr>
        <w:t xml:space="preserve"> do mês seguinte à assinatura do contrato ou do termo equivalente.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Ouvidoria (OUV): A OUV deve ser a responsável em inserir no Portal as informações repassadas pelas áreas mencionadas no prazo de 3</w:t>
      </w:r>
      <w:r>
        <w:rPr>
          <w:rFonts w:ascii="Verdana" w:hAnsi="Verdana"/>
          <w:sz w:val="20"/>
          <w:szCs w:val="20"/>
        </w:rPr>
        <w:t xml:space="preserve"> (três)</w:t>
      </w:r>
      <w:r w:rsidRPr="00633D20">
        <w:rPr>
          <w:rFonts w:ascii="Verdana" w:hAnsi="Verdana"/>
          <w:sz w:val="20"/>
          <w:szCs w:val="20"/>
        </w:rPr>
        <w:t xml:space="preserve"> dias úteis;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No caso das informações referentes à quantidade de veículos e valor arrecadado; fotos de contratação de serviços de buffet, contratos de compras e pagam</w:t>
      </w:r>
      <w:r>
        <w:rPr>
          <w:rFonts w:ascii="Verdana" w:hAnsi="Verdana"/>
          <w:sz w:val="20"/>
          <w:szCs w:val="20"/>
        </w:rPr>
        <w:t>entos realizados pela SP Turismo</w:t>
      </w:r>
      <w:r w:rsidRPr="00633D20">
        <w:rPr>
          <w:rFonts w:ascii="Verdana" w:hAnsi="Verdana"/>
          <w:sz w:val="20"/>
          <w:szCs w:val="20"/>
        </w:rPr>
        <w:t>, o processo não sofrerá nenhuma alteração. As respectivas áreas continuarão lançando as informações no site, não havendo necessidade de encaminhar à OUV;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OUV deve ser a responsável por acompanhar a atualização das informações no Portal da Transparência;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OUV também deve ser a responsável por solicitar às áreas a atualização das informações, quando estas não estiverem atualizadas;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As Diretorias e Gerências devem designar duas pessoas para cada atividade, as quais serão os gestores responsáveis em atualizar as informações junto à OUV;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 OUV deve receber em até 10</w:t>
      </w:r>
      <w:r>
        <w:rPr>
          <w:rFonts w:ascii="Verdana" w:hAnsi="Verdana"/>
          <w:sz w:val="20"/>
          <w:szCs w:val="20"/>
        </w:rPr>
        <w:t xml:space="preserve"> (dez)</w:t>
      </w:r>
      <w:r w:rsidRPr="00633D20">
        <w:rPr>
          <w:rFonts w:ascii="Verdana" w:hAnsi="Verdana"/>
          <w:sz w:val="20"/>
          <w:szCs w:val="20"/>
        </w:rPr>
        <w:t xml:space="preserve"> dias, após a publicação dessa normativa, os nomes dos responsáveis pelas atualizações das informações.</w:t>
      </w:r>
    </w:p>
    <w:p w:rsidR="00F86593" w:rsidRPr="00633D20" w:rsidRDefault="00F86593" w:rsidP="00C4092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Toda e qualquer alteração quanto aos responsáveis pela atualização deverá ser informada à OUV.</w:t>
      </w:r>
    </w:p>
    <w:p w:rsidR="00F86593" w:rsidRPr="00633D20" w:rsidRDefault="00F86593" w:rsidP="00C4092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F86593" w:rsidRPr="00633D20" w:rsidRDefault="00F86593" w:rsidP="00C4092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33D20">
        <w:rPr>
          <w:rFonts w:ascii="Verdana" w:hAnsi="Verdana"/>
          <w:b/>
          <w:sz w:val="20"/>
          <w:szCs w:val="20"/>
        </w:rPr>
        <w:t>Penalidades</w:t>
      </w:r>
    </w:p>
    <w:p w:rsidR="00F86593" w:rsidRPr="009053F5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lastRenderedPageBreak/>
        <w:t xml:space="preserve">Todos os colaboradores estarão sujeitos às penalidades das normas disciplinares da SP Turismo, em especial a </w:t>
      </w:r>
      <w:r>
        <w:rPr>
          <w:rFonts w:ascii="Verdana" w:hAnsi="Verdana"/>
          <w:b/>
          <w:sz w:val="20"/>
          <w:szCs w:val="20"/>
        </w:rPr>
        <w:t>NG GRH 07</w:t>
      </w:r>
      <w:r w:rsidRPr="00633D20">
        <w:rPr>
          <w:rFonts w:ascii="Verdana" w:hAnsi="Verdana"/>
          <w:b/>
          <w:sz w:val="20"/>
          <w:szCs w:val="20"/>
        </w:rPr>
        <w:t xml:space="preserve"> - Conduta Funcional</w:t>
      </w:r>
      <w:r w:rsidRPr="00633D20">
        <w:rPr>
          <w:rFonts w:ascii="Verdana" w:hAnsi="Verdana"/>
          <w:sz w:val="20"/>
          <w:szCs w:val="20"/>
        </w:rPr>
        <w:t>, no caso de descumprimento desta Norma.</w:t>
      </w:r>
    </w:p>
    <w:p w:rsidR="00F86593" w:rsidRPr="00633D20" w:rsidRDefault="00F86593" w:rsidP="00C4092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33D20">
        <w:rPr>
          <w:rFonts w:ascii="Verdana" w:hAnsi="Verdana"/>
          <w:b/>
          <w:sz w:val="20"/>
          <w:szCs w:val="20"/>
        </w:rPr>
        <w:t xml:space="preserve">Legislação básica 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33D20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633D20">
        <w:rPr>
          <w:rFonts w:ascii="Verdana" w:hAnsi="Verdana"/>
          <w:color w:val="000000"/>
          <w:sz w:val="20"/>
          <w:szCs w:val="20"/>
          <w:shd w:val="clear" w:color="auto" w:fill="FFFFFF"/>
        </w:rPr>
        <w:t>A Lei Complementar 131, de 27 de maio de 2009, que alterou a redação da Lei de Responsabilidade Fiscal no que se refere à transparência da gestão fiscal, inovando ao determinar a disponibilização, em tempo real, de informações pormenorizadas sobre a execução orçamentária e financeira da União, dos Estados, do Distrito Federal e dos Municípios.</w:t>
      </w:r>
    </w:p>
    <w:p w:rsidR="00F86593" w:rsidRPr="00633D20" w:rsidRDefault="00F86593" w:rsidP="00C4092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86593" w:rsidRPr="00633D20" w:rsidRDefault="00F86593" w:rsidP="00C4092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33D20">
        <w:rPr>
          <w:rFonts w:ascii="Verdana" w:hAnsi="Verdana"/>
          <w:b/>
          <w:sz w:val="20"/>
          <w:szCs w:val="20"/>
        </w:rPr>
        <w:t>Anexos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Não existem anexos referentes a esta Norma.</w:t>
      </w:r>
    </w:p>
    <w:p w:rsidR="00F86593" w:rsidRPr="00633D20" w:rsidRDefault="00F86593" w:rsidP="00C4092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F86593" w:rsidRPr="00633D20" w:rsidRDefault="00F86593" w:rsidP="00C4092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33D20">
        <w:rPr>
          <w:rFonts w:ascii="Verdana" w:hAnsi="Verdana"/>
          <w:b/>
          <w:sz w:val="20"/>
          <w:szCs w:val="20"/>
        </w:rPr>
        <w:t>Revisões</w:t>
      </w:r>
    </w:p>
    <w:p w:rsidR="00F86593" w:rsidRPr="00633D20" w:rsidRDefault="00F86593" w:rsidP="00C4092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33D20">
        <w:rPr>
          <w:rFonts w:ascii="Verdana" w:hAnsi="Verdana"/>
          <w:sz w:val="20"/>
          <w:szCs w:val="20"/>
        </w:rPr>
        <w:t>Anualmente, as definições e diretrizes desta norma devem ser revisadas e aprovadas pela GAI (Gerência de Auditoria e Controle Interno).</w:t>
      </w:r>
    </w:p>
    <w:p w:rsidR="00F86593" w:rsidRPr="00633D20" w:rsidRDefault="00F86593" w:rsidP="00C4092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sz w:val="20"/>
          <w:szCs w:val="20"/>
        </w:rPr>
      </w:pPr>
    </w:p>
    <w:p w:rsidR="00F86593" w:rsidRPr="00633D20" w:rsidRDefault="00F86593" w:rsidP="00C4092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33D20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2001"/>
        <w:gridCol w:w="2891"/>
      </w:tblGrid>
      <w:tr w:rsidR="00F86593" w:rsidRPr="00633D20" w:rsidTr="00332033">
        <w:trPr>
          <w:trHeight w:val="230"/>
        </w:trPr>
        <w:tc>
          <w:tcPr>
            <w:tcW w:w="921" w:type="dxa"/>
            <w:vMerge w:val="restart"/>
            <w:shd w:val="clear" w:color="auto" w:fill="C0C0C0"/>
            <w:vAlign w:val="center"/>
          </w:tcPr>
          <w:p w:rsidR="00F86593" w:rsidRPr="00633D20" w:rsidRDefault="00F86593" w:rsidP="00C4092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33D20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86593" w:rsidRPr="00633D20" w:rsidRDefault="00F86593" w:rsidP="00C4092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33D20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3908" w:type="dxa"/>
            <w:vMerge w:val="restart"/>
            <w:shd w:val="clear" w:color="auto" w:fill="C0C0C0"/>
            <w:vAlign w:val="center"/>
          </w:tcPr>
          <w:p w:rsidR="00F86593" w:rsidRPr="00633D20" w:rsidRDefault="00F86593" w:rsidP="00C4092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33D20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950" w:type="dxa"/>
            <w:vMerge w:val="restart"/>
            <w:shd w:val="clear" w:color="auto" w:fill="C0C0C0"/>
            <w:vAlign w:val="center"/>
          </w:tcPr>
          <w:p w:rsidR="00F86593" w:rsidRPr="00633D20" w:rsidRDefault="00F86593" w:rsidP="00C4092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33D20">
              <w:rPr>
                <w:rFonts w:ascii="Verdana" w:hAnsi="Verdana"/>
                <w:b/>
                <w:sz w:val="20"/>
                <w:szCs w:val="20"/>
              </w:rPr>
              <w:t>Revisores/Aprovadores</w:t>
            </w:r>
          </w:p>
        </w:tc>
      </w:tr>
      <w:tr w:rsidR="00F86593" w:rsidRPr="00633D20" w:rsidTr="00332033">
        <w:trPr>
          <w:trHeight w:val="184"/>
        </w:trPr>
        <w:tc>
          <w:tcPr>
            <w:tcW w:w="0" w:type="auto"/>
            <w:vMerge/>
          </w:tcPr>
          <w:p w:rsidR="00F86593" w:rsidRPr="00633D20" w:rsidRDefault="00F86593" w:rsidP="00C4092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6593" w:rsidRPr="00633D20" w:rsidRDefault="00F86593" w:rsidP="00C4092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33D20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86593" w:rsidRPr="00633D20" w:rsidRDefault="00F86593" w:rsidP="00C4092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33D20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F86593" w:rsidRPr="00633D20" w:rsidRDefault="00F86593" w:rsidP="00C4092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86593" w:rsidRPr="00633D20" w:rsidRDefault="00F86593" w:rsidP="00C4092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86593" w:rsidRPr="00633D20" w:rsidTr="00332033">
        <w:trPr>
          <w:trHeight w:val="288"/>
        </w:trPr>
        <w:tc>
          <w:tcPr>
            <w:tcW w:w="921" w:type="dxa"/>
            <w:vAlign w:val="center"/>
          </w:tcPr>
          <w:p w:rsidR="00F86593" w:rsidRPr="00633D20" w:rsidRDefault="00F86593" w:rsidP="00C4092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33D20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172" w:type="dxa"/>
            <w:vAlign w:val="center"/>
          </w:tcPr>
          <w:p w:rsidR="00F86593" w:rsidRPr="00633D20" w:rsidRDefault="00F86593" w:rsidP="00C4092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F86593" w:rsidRPr="00633D20" w:rsidRDefault="00F86593" w:rsidP="00C4092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08" w:type="dxa"/>
            <w:vAlign w:val="center"/>
          </w:tcPr>
          <w:p w:rsidR="00F86593" w:rsidRPr="00633D20" w:rsidRDefault="00F86593" w:rsidP="00C4092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86593" w:rsidRPr="00633D20" w:rsidRDefault="00F86593" w:rsidP="00C4092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33D20">
              <w:rPr>
                <w:rFonts w:ascii="Verdana" w:hAnsi="Verdana"/>
                <w:sz w:val="20"/>
                <w:szCs w:val="20"/>
              </w:rPr>
              <w:t xml:space="preserve">GAI: José Marcos Miziara </w:t>
            </w:r>
            <w:r>
              <w:rPr>
                <w:rFonts w:ascii="Verdana" w:hAnsi="Verdana"/>
                <w:sz w:val="20"/>
                <w:szCs w:val="20"/>
              </w:rPr>
              <w:t>Filho</w:t>
            </w:r>
          </w:p>
          <w:p w:rsidR="00F86593" w:rsidRPr="00633D20" w:rsidRDefault="00F86593" w:rsidP="00C4092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86593" w:rsidRPr="00633D20" w:rsidRDefault="00F86593" w:rsidP="00C40927">
      <w:pPr>
        <w:spacing w:beforeLines="240" w:before="576" w:afterLines="240" w:after="576"/>
        <w:contextualSpacing/>
        <w:jc w:val="both"/>
        <w:rPr>
          <w:rFonts w:ascii="Verdana" w:hAnsi="Verdana"/>
          <w:sz w:val="20"/>
          <w:szCs w:val="20"/>
        </w:rPr>
      </w:pPr>
    </w:p>
    <w:p w:rsidR="00F86593" w:rsidRPr="00633D20" w:rsidRDefault="00F86593" w:rsidP="00C40927">
      <w:pPr>
        <w:spacing w:beforeLines="240" w:before="576" w:afterLines="240" w:after="576"/>
        <w:contextualSpacing/>
        <w:jc w:val="both"/>
        <w:rPr>
          <w:rFonts w:ascii="Verdana" w:hAnsi="Verdana"/>
          <w:sz w:val="20"/>
          <w:szCs w:val="20"/>
        </w:rPr>
      </w:pPr>
    </w:p>
    <w:p w:rsidR="00F86593" w:rsidRPr="00633D20" w:rsidRDefault="00F86593" w:rsidP="00C40927">
      <w:pPr>
        <w:spacing w:beforeLines="240" w:before="576" w:afterLines="240" w:after="576"/>
        <w:contextualSpacing/>
        <w:jc w:val="both"/>
        <w:rPr>
          <w:rFonts w:ascii="Verdana" w:hAnsi="Verdana"/>
          <w:sz w:val="20"/>
          <w:szCs w:val="20"/>
        </w:rPr>
      </w:pPr>
    </w:p>
    <w:p w:rsidR="00315D5D" w:rsidRPr="00F86593" w:rsidRDefault="00315D5D" w:rsidP="00C40927">
      <w:pPr>
        <w:jc w:val="both"/>
      </w:pPr>
    </w:p>
    <w:sectPr w:rsidR="00315D5D" w:rsidRPr="00F86593" w:rsidSect="0041694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7" w:right="1701" w:bottom="1417" w:left="1701" w:header="708" w:footer="708" w:gutter="0"/>
      <w:pgNumType w:start="5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54" w:rsidRDefault="00AB1B54">
      <w:r>
        <w:separator/>
      </w:r>
    </w:p>
  </w:endnote>
  <w:endnote w:type="continuationSeparator" w:id="0">
    <w:p w:rsidR="00AB1B54" w:rsidRDefault="00AB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CC5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8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AB1B54">
    <w:pPr>
      <w:pStyle w:val="Footer"/>
      <w:ind w:right="360"/>
    </w:pPr>
  </w:p>
  <w:p w:rsidR="00511A83" w:rsidRDefault="00511A83" w:rsidP="00511A83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2A48FF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CC5508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="002A48FF"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884CE5">
      <w:rPr>
        <w:rStyle w:val="PageNumber"/>
        <w:rFonts w:ascii="Verdana" w:hAnsi="Verdana"/>
        <w:noProof/>
        <w:sz w:val="18"/>
      </w:rPr>
      <w:t>521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AB1B54">
    <w:pPr>
      <w:pStyle w:val="Footer"/>
      <w:ind w:right="360"/>
    </w:pPr>
  </w:p>
  <w:p w:rsidR="00511A83" w:rsidRDefault="00511A83" w:rsidP="00B8203C">
    <w:pPr>
      <w:pStyle w:val="DSLxStyle"/>
      <w:numPr>
        <w:ilvl w:val="0"/>
        <w:numId w:val="0"/>
      </w:numPr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83" w:rsidRDefault="00511A83">
    <w:pPr>
      <w:pStyle w:val="Footer"/>
    </w:pPr>
  </w:p>
  <w:p w:rsidR="00511A83" w:rsidRDefault="00511A83" w:rsidP="00511A83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54" w:rsidRDefault="00AB1B54">
      <w:r>
        <w:separator/>
      </w:r>
    </w:p>
  </w:footnote>
  <w:footnote w:type="continuationSeparator" w:id="0">
    <w:p w:rsidR="00AB1B54" w:rsidRDefault="00AB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2A48FF" w:rsidP="00A35CD2">
          <w:pPr>
            <w:pStyle w:val="Head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2A48FF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42787A" w:rsidRPr="0042787A" w:rsidRDefault="00C40927" w:rsidP="0042787A">
          <w:pPr>
            <w:pStyle w:val="Heading3"/>
            <w:numPr>
              <w:ilvl w:val="0"/>
              <w:numId w:val="0"/>
            </w:numPr>
            <w:spacing w:before="0" w:after="0"/>
            <w:jc w:val="center"/>
          </w:pPr>
          <w:r>
            <w:t>Portal da Transparência</w:t>
          </w:r>
        </w:p>
      </w:tc>
      <w:tc>
        <w:tcPr>
          <w:tcW w:w="1843" w:type="dxa"/>
        </w:tcPr>
        <w:p w:rsidR="003D67B9" w:rsidRDefault="002A48FF" w:rsidP="0046585F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773185">
            <w:t>NG GAI</w:t>
          </w:r>
          <w:r w:rsidR="00C40927">
            <w:t xml:space="preserve"> 04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AB1B54">
          <w:pPr>
            <w:pStyle w:val="Header"/>
          </w:pPr>
        </w:p>
      </w:tc>
      <w:tc>
        <w:tcPr>
          <w:tcW w:w="1854" w:type="dxa"/>
        </w:tcPr>
        <w:p w:rsidR="003D67B9" w:rsidRPr="00986E3A" w:rsidRDefault="002A48F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884CE5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884CE5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2A48FF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2A48F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D81AAD" w:rsidRDefault="002A48FF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191D42">
            <w:rPr>
              <w:b/>
              <w:sz w:val="16"/>
            </w:rPr>
            <w:t>Revisado por:</w:t>
          </w:r>
          <w:r w:rsidRPr="00D81AAD">
            <w:rPr>
              <w:b/>
              <w:sz w:val="16"/>
              <w:highlight w:val="yellow"/>
            </w:rPr>
            <w:br/>
          </w:r>
          <w:r w:rsidR="00773185">
            <w:rPr>
              <w:sz w:val="16"/>
            </w:rPr>
            <w:t>José Marcos Miziara Filho</w:t>
          </w:r>
        </w:p>
      </w:tc>
      <w:tc>
        <w:tcPr>
          <w:tcW w:w="1843" w:type="dxa"/>
        </w:tcPr>
        <w:p w:rsidR="00D81AAD" w:rsidRPr="00191D42" w:rsidRDefault="002A48F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191D42">
            <w:rPr>
              <w:b/>
              <w:sz w:val="16"/>
            </w:rPr>
            <w:t>Última revisão:</w:t>
          </w:r>
        </w:p>
        <w:p w:rsidR="003D67B9" w:rsidRPr="00191D42" w:rsidRDefault="00884CE5" w:rsidP="00733F4D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2A48FF" w:rsidRPr="00191D42">
            <w:rPr>
              <w:sz w:val="16"/>
            </w:rPr>
            <w:t>/2017</w:t>
          </w:r>
        </w:p>
      </w:tc>
    </w:tr>
  </w:tbl>
  <w:p w:rsidR="003D67B9" w:rsidRDefault="00AB1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C8"/>
    <w:multiLevelType w:val="multilevel"/>
    <w:tmpl w:val="903CB256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3" w15:restartNumberingAfterBreak="0">
    <w:nsid w:val="07D64AF9"/>
    <w:multiLevelType w:val="multilevel"/>
    <w:tmpl w:val="FC18C356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5E5BA4"/>
    <w:multiLevelType w:val="multilevel"/>
    <w:tmpl w:val="F14C9C64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7" w15:restartNumberingAfterBreak="0">
    <w:nsid w:val="0FFB3A3D"/>
    <w:multiLevelType w:val="multilevel"/>
    <w:tmpl w:val="62E8CB10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17765D"/>
    <w:multiLevelType w:val="multilevel"/>
    <w:tmpl w:val="F40636B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78E5340"/>
    <w:multiLevelType w:val="multilevel"/>
    <w:tmpl w:val="32C4E6BE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7827F04"/>
    <w:multiLevelType w:val="multilevel"/>
    <w:tmpl w:val="B3229FCE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FA6AF7"/>
    <w:multiLevelType w:val="multilevel"/>
    <w:tmpl w:val="915843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C1E71B6"/>
    <w:multiLevelType w:val="multilevel"/>
    <w:tmpl w:val="7B481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7" w15:restartNumberingAfterBreak="0">
    <w:nsid w:val="5A471E28"/>
    <w:multiLevelType w:val="multilevel"/>
    <w:tmpl w:val="3E0A537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C532539"/>
    <w:multiLevelType w:val="multilevel"/>
    <w:tmpl w:val="9DE614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DSLxStyle"/>
      <w:isLgl/>
      <w:suff w:val="space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0880128"/>
    <w:multiLevelType w:val="multilevel"/>
    <w:tmpl w:val="97204BA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0C4BB7"/>
    <w:multiLevelType w:val="multilevel"/>
    <w:tmpl w:val="E5A0D140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33B90"/>
    <w:multiLevelType w:val="multilevel"/>
    <w:tmpl w:val="22383880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20"/>
  </w:num>
  <w:num w:numId="9">
    <w:abstractNumId w:val="13"/>
  </w:num>
  <w:num w:numId="10">
    <w:abstractNumId w:val="5"/>
  </w:num>
  <w:num w:numId="11">
    <w:abstractNumId w:val="16"/>
  </w:num>
  <w:num w:numId="12">
    <w:abstractNumId w:val="22"/>
  </w:num>
  <w:num w:numId="13">
    <w:abstractNumId w:val="10"/>
  </w:num>
  <w:num w:numId="14">
    <w:abstractNumId w:val="2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4"/>
    </w:lvlOverride>
    <w:lvlOverride w:ilvl="1">
      <w:startOverride w:val="2"/>
    </w:lvlOverride>
    <w:lvlOverride w:ilvl="2">
      <w:startOverride w:val="10"/>
    </w:lvlOverride>
  </w:num>
  <w:num w:numId="17">
    <w:abstractNumId w:val="21"/>
  </w:num>
  <w:num w:numId="18">
    <w:abstractNumId w:val="0"/>
  </w:num>
  <w:num w:numId="19">
    <w:abstractNumId w:val="7"/>
  </w:num>
  <w:num w:numId="20">
    <w:abstractNumId w:val="17"/>
  </w:num>
  <w:num w:numId="21">
    <w:abstractNumId w:val="9"/>
  </w:num>
  <w:num w:numId="22">
    <w:abstractNumId w:val="4"/>
  </w:num>
  <w:num w:numId="23">
    <w:abstractNumId w:val="19"/>
  </w:num>
  <w:num w:numId="24">
    <w:abstractNumId w:val="3"/>
  </w:num>
  <w:num w:numId="25">
    <w:abstractNumId w:val="24"/>
  </w:num>
  <w:num w:numId="26">
    <w:abstractNumId w:val="8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24"/>
    <w:rsid w:val="000A7E07"/>
    <w:rsid w:val="001045F0"/>
    <w:rsid w:val="00111B31"/>
    <w:rsid w:val="00127CA8"/>
    <w:rsid w:val="00162FCC"/>
    <w:rsid w:val="001D3C9D"/>
    <w:rsid w:val="00281F94"/>
    <w:rsid w:val="002A48FF"/>
    <w:rsid w:val="00315D5D"/>
    <w:rsid w:val="003239FB"/>
    <w:rsid w:val="00350F97"/>
    <w:rsid w:val="003602E4"/>
    <w:rsid w:val="0037398E"/>
    <w:rsid w:val="00395E51"/>
    <w:rsid w:val="003B2247"/>
    <w:rsid w:val="003E142C"/>
    <w:rsid w:val="003E2324"/>
    <w:rsid w:val="003F43B2"/>
    <w:rsid w:val="00416945"/>
    <w:rsid w:val="0042787A"/>
    <w:rsid w:val="004A71A9"/>
    <w:rsid w:val="00511A83"/>
    <w:rsid w:val="00600B2E"/>
    <w:rsid w:val="00605719"/>
    <w:rsid w:val="00613DC1"/>
    <w:rsid w:val="00624501"/>
    <w:rsid w:val="006410DE"/>
    <w:rsid w:val="00736F5F"/>
    <w:rsid w:val="00766D46"/>
    <w:rsid w:val="00773185"/>
    <w:rsid w:val="007C2C38"/>
    <w:rsid w:val="00810060"/>
    <w:rsid w:val="00852978"/>
    <w:rsid w:val="00884CE5"/>
    <w:rsid w:val="00895E31"/>
    <w:rsid w:val="008E71D4"/>
    <w:rsid w:val="009014EE"/>
    <w:rsid w:val="009106D0"/>
    <w:rsid w:val="00957D52"/>
    <w:rsid w:val="0096764D"/>
    <w:rsid w:val="009712C8"/>
    <w:rsid w:val="00A026B6"/>
    <w:rsid w:val="00A103FB"/>
    <w:rsid w:val="00AB1B54"/>
    <w:rsid w:val="00B17581"/>
    <w:rsid w:val="00B8203C"/>
    <w:rsid w:val="00BA2D2B"/>
    <w:rsid w:val="00BB2449"/>
    <w:rsid w:val="00BD55BD"/>
    <w:rsid w:val="00C40927"/>
    <w:rsid w:val="00C50713"/>
    <w:rsid w:val="00CC5508"/>
    <w:rsid w:val="00CD163E"/>
    <w:rsid w:val="00D6240F"/>
    <w:rsid w:val="00D93F5C"/>
    <w:rsid w:val="00E91B6D"/>
    <w:rsid w:val="00ED1136"/>
    <w:rsid w:val="00ED29FB"/>
    <w:rsid w:val="00F86593"/>
    <w:rsid w:val="00FC1380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A4A27"/>
  <w15:docId w15:val="{789B4587-EBFF-4BFE-8190-422BF71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rsid w:val="003E142C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3E142C"/>
    <w:rPr>
      <w:i/>
      <w:color w:val="4F81BD"/>
    </w:rPr>
  </w:style>
  <w:style w:type="paragraph" w:customStyle="1" w:styleId="DSLxStyle">
    <w:name w:val="DSLxStyle"/>
    <w:basedOn w:val="ListParagraph"/>
    <w:link w:val="DSLxStyleChar"/>
    <w:rsid w:val="00511A83"/>
    <w:pPr>
      <w:numPr>
        <w:ilvl w:val="2"/>
        <w:numId w:val="2"/>
      </w:numPr>
      <w:spacing w:line="360" w:lineRule="auto"/>
      <w:ind w:left="0" w:firstLine="0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511A83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511A83"/>
    <w:rPr>
      <w:rFonts w:ascii="Verdana" w:hAnsi="Verdana"/>
      <w:color w:val="666666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idoria@sptur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E56C-84E7-46AA-9E3D-640FD3EB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1999</Words>
  <Characters>11400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13373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6</cp:revision>
  <dcterms:created xsi:type="dcterms:W3CDTF">2018-01-18T21:23:00Z</dcterms:created>
  <dcterms:modified xsi:type="dcterms:W3CDTF">2018-04-18T13:49:00Z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17/10/2017 15:30:30</vt:lpwstr>
  </property>
  <property fmtid="{D5CDD505-2E9C-101B-9397-08002B2CF9AE}" pid="5" name="SSDCxCLASSFICATION_GUID">
    <vt:lpwstr>47AFF6B9B3254F75A819C123FC7F2FDE</vt:lpwstr>
  </property>
  <property fmtid="{D5CDD505-2E9C-101B-9397-08002B2CF9AE}" pid="6" name="SSDCxCLASSFICATION_LANG">
    <vt:lpwstr>pt</vt:lpwstr>
  </property>
</Properties>
</file>