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AF" w:rsidRPr="000475CD" w:rsidRDefault="006459AF" w:rsidP="006459AF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="Verdana" w:hAnsi="Verdana"/>
          <w:b/>
          <w:sz w:val="20"/>
          <w:szCs w:val="20"/>
        </w:rPr>
      </w:pPr>
      <w:r w:rsidRPr="000475CD">
        <w:rPr>
          <w:rFonts w:ascii="Verdana" w:hAnsi="Verdana"/>
          <w:b/>
          <w:sz w:val="20"/>
          <w:szCs w:val="20"/>
        </w:rPr>
        <w:t>Objetivo</w:t>
      </w:r>
    </w:p>
    <w:p w:rsidR="006459AF" w:rsidRPr="000475CD" w:rsidRDefault="006459AF" w:rsidP="006459AF">
      <w:pPr>
        <w:spacing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>Definir diretrizes e padronizar procedimentos que suportem os processos de Planejamento e Projetos da SP Turismo, visando o melhor planejamento dos investimentos aplicados na execução de obras das infraestruturas do Parque Anhembi.</w:t>
      </w:r>
    </w:p>
    <w:p w:rsidR="006459AF" w:rsidRPr="000475CD" w:rsidRDefault="006459AF" w:rsidP="006459AF">
      <w:pPr>
        <w:pStyle w:val="ListParagraph"/>
        <w:numPr>
          <w:ilvl w:val="0"/>
          <w:numId w:val="2"/>
        </w:numPr>
        <w:spacing w:line="360" w:lineRule="auto"/>
        <w:ind w:hanging="720"/>
        <w:jc w:val="both"/>
        <w:rPr>
          <w:rFonts w:ascii="Verdana" w:hAnsi="Verdana"/>
          <w:b/>
          <w:sz w:val="20"/>
          <w:szCs w:val="20"/>
        </w:rPr>
      </w:pPr>
      <w:r w:rsidRPr="000475CD">
        <w:rPr>
          <w:rFonts w:ascii="Verdana" w:hAnsi="Verdana"/>
          <w:b/>
          <w:sz w:val="20"/>
          <w:szCs w:val="20"/>
        </w:rPr>
        <w:t>Abrangência</w:t>
      </w:r>
    </w:p>
    <w:p w:rsidR="006459AF" w:rsidRPr="000475CD" w:rsidRDefault="006459AF" w:rsidP="006459AF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>As definições, diretrizes e demais orientações introduzidas por esta norma aplica</w:t>
      </w:r>
      <w:r>
        <w:rPr>
          <w:rFonts w:ascii="Verdana" w:hAnsi="Verdana"/>
          <w:sz w:val="20"/>
          <w:szCs w:val="20"/>
        </w:rPr>
        <w:t>m</w:t>
      </w:r>
      <w:r w:rsidRPr="000475CD">
        <w:rPr>
          <w:rFonts w:ascii="Verdana" w:hAnsi="Verdana"/>
          <w:sz w:val="20"/>
          <w:szCs w:val="20"/>
        </w:rPr>
        <w:t>-se aos colaboradores envolvidos no planejamento e na execução de projetos e obras na SP Turismo.</w:t>
      </w:r>
    </w:p>
    <w:p w:rsidR="006459AF" w:rsidRPr="000475CD" w:rsidRDefault="006459AF" w:rsidP="006459AF">
      <w:pPr>
        <w:pStyle w:val="ListParagraph"/>
        <w:numPr>
          <w:ilvl w:val="0"/>
          <w:numId w:val="2"/>
        </w:numPr>
        <w:spacing w:before="240" w:after="240" w:line="360" w:lineRule="auto"/>
        <w:ind w:hanging="720"/>
        <w:jc w:val="both"/>
        <w:rPr>
          <w:rFonts w:ascii="Verdana" w:hAnsi="Verdana"/>
          <w:b/>
          <w:sz w:val="20"/>
          <w:szCs w:val="20"/>
        </w:rPr>
      </w:pPr>
      <w:r w:rsidRPr="000475CD">
        <w:rPr>
          <w:rFonts w:ascii="Verdana" w:hAnsi="Verdana"/>
          <w:b/>
          <w:sz w:val="20"/>
          <w:szCs w:val="20"/>
        </w:rPr>
        <w:t>Definições</w:t>
      </w:r>
    </w:p>
    <w:p w:rsidR="006459AF" w:rsidRPr="000475CD" w:rsidRDefault="006459AF" w:rsidP="006459AF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0475CD">
        <w:rPr>
          <w:rFonts w:ascii="Verdana" w:hAnsi="Verdana"/>
          <w:sz w:val="20"/>
          <w:szCs w:val="20"/>
          <w:u w:val="single"/>
        </w:rPr>
        <w:t>AELP:</w:t>
      </w:r>
      <w:r w:rsidRPr="000475CD">
        <w:rPr>
          <w:rFonts w:ascii="Verdana" w:hAnsi="Verdana"/>
          <w:sz w:val="20"/>
          <w:szCs w:val="20"/>
        </w:rPr>
        <w:t xml:space="preserve">  Atestado de Execução e Liberação de Pagamento.</w:t>
      </w:r>
    </w:p>
    <w:p w:rsidR="006459AF" w:rsidRPr="000475CD" w:rsidRDefault="006459AF" w:rsidP="006459AF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0475CD">
        <w:rPr>
          <w:rFonts w:ascii="Verdana" w:hAnsi="Verdana"/>
          <w:sz w:val="20"/>
          <w:szCs w:val="20"/>
          <w:u w:val="single"/>
        </w:rPr>
        <w:t>ART:</w:t>
      </w:r>
      <w:r w:rsidRPr="000475CD">
        <w:rPr>
          <w:rFonts w:ascii="Verdana" w:hAnsi="Verdana"/>
          <w:sz w:val="20"/>
          <w:szCs w:val="20"/>
        </w:rPr>
        <w:t xml:space="preserve"> Anotação de Responsabilidade Técnica.</w:t>
      </w:r>
    </w:p>
    <w:p w:rsidR="006459AF" w:rsidRPr="000475CD" w:rsidRDefault="006459AF" w:rsidP="006459AF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0475CD">
        <w:rPr>
          <w:rFonts w:ascii="Verdana" w:hAnsi="Verdana"/>
          <w:sz w:val="20"/>
          <w:szCs w:val="20"/>
          <w:u w:val="single"/>
        </w:rPr>
        <w:t>AVCB:</w:t>
      </w:r>
      <w:r w:rsidRPr="000475CD">
        <w:rPr>
          <w:rFonts w:ascii="Verdana" w:hAnsi="Verdana"/>
          <w:sz w:val="20"/>
          <w:szCs w:val="20"/>
        </w:rPr>
        <w:t xml:space="preserve"> Auto de Vistoria do Corpo de Bombeiro.</w:t>
      </w:r>
    </w:p>
    <w:p w:rsidR="006459AF" w:rsidRPr="000475CD" w:rsidRDefault="006459AF" w:rsidP="006459AF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  <w:u w:val="single"/>
        </w:rPr>
        <w:t>CI:</w:t>
      </w:r>
      <w:r w:rsidRPr="000475CD">
        <w:rPr>
          <w:rFonts w:ascii="Verdana" w:hAnsi="Verdana"/>
          <w:sz w:val="20"/>
          <w:szCs w:val="20"/>
        </w:rPr>
        <w:t xml:space="preserve"> Correspondência</w:t>
      </w:r>
      <w:r>
        <w:rPr>
          <w:rFonts w:ascii="Verdana" w:hAnsi="Verdana"/>
          <w:sz w:val="20"/>
          <w:szCs w:val="20"/>
        </w:rPr>
        <w:t xml:space="preserve"> Interna</w:t>
      </w:r>
      <w:r w:rsidRPr="000475CD">
        <w:rPr>
          <w:rFonts w:ascii="Verdana" w:hAnsi="Verdana"/>
          <w:sz w:val="20"/>
          <w:szCs w:val="20"/>
        </w:rPr>
        <w:t>.</w:t>
      </w:r>
    </w:p>
    <w:p w:rsidR="006459AF" w:rsidRPr="000475CD" w:rsidRDefault="006459AF" w:rsidP="006459AF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  <w:u w:val="single"/>
        </w:rPr>
        <w:t>DIE:</w:t>
      </w:r>
      <w:r w:rsidRPr="000475CD">
        <w:rPr>
          <w:rFonts w:ascii="Verdana" w:hAnsi="Verdana"/>
          <w:sz w:val="20"/>
          <w:szCs w:val="20"/>
        </w:rPr>
        <w:t xml:space="preserve"> Diretoria de Infraestrutura.</w:t>
      </w:r>
    </w:p>
    <w:p w:rsidR="006459AF" w:rsidRPr="000475CD" w:rsidRDefault="006459AF" w:rsidP="006459AF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  <w:u w:val="single"/>
        </w:rPr>
        <w:t>DMV:</w:t>
      </w:r>
      <w:r w:rsidRPr="000475CD">
        <w:rPr>
          <w:rFonts w:ascii="Verdana" w:hAnsi="Verdana"/>
          <w:sz w:val="20"/>
          <w:szCs w:val="20"/>
        </w:rPr>
        <w:t xml:space="preserve"> Diretoria de Marketing e Vendas.</w:t>
      </w:r>
    </w:p>
    <w:p w:rsidR="006459AF" w:rsidRPr="000475CD" w:rsidRDefault="006459AF" w:rsidP="006459AF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0475CD">
        <w:rPr>
          <w:rFonts w:ascii="Verdana" w:hAnsi="Verdana"/>
          <w:sz w:val="20"/>
          <w:szCs w:val="20"/>
          <w:u w:val="single"/>
        </w:rPr>
        <w:t>DTU:</w:t>
      </w:r>
      <w:r w:rsidRPr="000475CD">
        <w:rPr>
          <w:rFonts w:ascii="Verdana" w:hAnsi="Verdana"/>
          <w:sz w:val="20"/>
          <w:szCs w:val="20"/>
        </w:rPr>
        <w:t xml:space="preserve"> Gerência de Turismo.</w:t>
      </w:r>
    </w:p>
    <w:p w:rsidR="006459AF" w:rsidRPr="000475CD" w:rsidRDefault="006459AF" w:rsidP="006459AF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0475CD">
        <w:rPr>
          <w:rFonts w:ascii="Verdana" w:hAnsi="Verdana"/>
          <w:sz w:val="20"/>
          <w:szCs w:val="20"/>
          <w:u w:val="single"/>
        </w:rPr>
        <w:t>GCO:</w:t>
      </w:r>
      <w:r w:rsidRPr="000475CD">
        <w:rPr>
          <w:rFonts w:ascii="Verdana" w:hAnsi="Verdana"/>
          <w:sz w:val="20"/>
          <w:szCs w:val="20"/>
        </w:rPr>
        <w:t xml:space="preserve"> Gerência de Compras e Contratos.</w:t>
      </w:r>
    </w:p>
    <w:p w:rsidR="006459AF" w:rsidRPr="000475CD" w:rsidRDefault="006459AF" w:rsidP="006459AF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0475CD">
        <w:rPr>
          <w:rFonts w:ascii="Verdana" w:hAnsi="Verdana"/>
          <w:sz w:val="20"/>
          <w:szCs w:val="20"/>
          <w:u w:val="single"/>
        </w:rPr>
        <w:t>GDC:</w:t>
      </w:r>
      <w:r w:rsidRPr="000475CD">
        <w:rPr>
          <w:rFonts w:ascii="Verdana" w:hAnsi="Verdana"/>
          <w:sz w:val="20"/>
          <w:szCs w:val="20"/>
        </w:rPr>
        <w:t xml:space="preserve"> Gerência de Controladoria.</w:t>
      </w:r>
    </w:p>
    <w:p w:rsidR="006459AF" w:rsidRPr="00E006F3" w:rsidRDefault="006459AF" w:rsidP="006459AF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GIE:</w:t>
      </w:r>
      <w:r w:rsidRPr="00A85254">
        <w:rPr>
          <w:rFonts w:ascii="Verdana" w:hAnsi="Verdana"/>
          <w:sz w:val="20"/>
          <w:szCs w:val="20"/>
        </w:rPr>
        <w:t xml:space="preserve"> Gerência de Implantação de Empreendimentos.</w:t>
      </w:r>
    </w:p>
    <w:p w:rsidR="006459AF" w:rsidRPr="000475CD" w:rsidRDefault="006459AF" w:rsidP="006459AF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0475CD">
        <w:rPr>
          <w:rFonts w:ascii="Verdana" w:hAnsi="Verdana"/>
          <w:sz w:val="20"/>
          <w:szCs w:val="20"/>
          <w:u w:val="single"/>
        </w:rPr>
        <w:t>GJU:</w:t>
      </w:r>
      <w:r w:rsidRPr="000475CD">
        <w:rPr>
          <w:rFonts w:ascii="Verdana" w:hAnsi="Verdana"/>
          <w:sz w:val="20"/>
          <w:szCs w:val="20"/>
        </w:rPr>
        <w:t xml:space="preserve"> Gerência Jurídica.</w:t>
      </w:r>
    </w:p>
    <w:p w:rsidR="006459AF" w:rsidRPr="000475CD" w:rsidRDefault="006459AF" w:rsidP="006459AF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0475CD">
        <w:rPr>
          <w:rFonts w:ascii="Verdana" w:hAnsi="Verdana"/>
          <w:sz w:val="20"/>
          <w:szCs w:val="20"/>
          <w:u w:val="single"/>
        </w:rPr>
        <w:t>GOP:</w:t>
      </w:r>
      <w:r w:rsidRPr="000475CD">
        <w:rPr>
          <w:rFonts w:ascii="Verdana" w:hAnsi="Verdana"/>
          <w:sz w:val="20"/>
          <w:szCs w:val="20"/>
        </w:rPr>
        <w:t xml:space="preserve"> Gerência de Operações.</w:t>
      </w:r>
    </w:p>
    <w:p w:rsidR="006459AF" w:rsidRPr="000475CD" w:rsidRDefault="006459AF" w:rsidP="006459AF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0475CD">
        <w:rPr>
          <w:rFonts w:ascii="Verdana" w:hAnsi="Verdana"/>
          <w:sz w:val="20"/>
          <w:szCs w:val="20"/>
          <w:u w:val="single"/>
        </w:rPr>
        <w:t xml:space="preserve">GPP: </w:t>
      </w:r>
      <w:r w:rsidRPr="000475CD">
        <w:rPr>
          <w:rFonts w:ascii="Verdana" w:hAnsi="Verdana"/>
          <w:sz w:val="20"/>
          <w:szCs w:val="20"/>
        </w:rPr>
        <w:t>Gerência de Planejamento e Projetos.</w:t>
      </w:r>
    </w:p>
    <w:p w:rsidR="006459AF" w:rsidRPr="000475CD" w:rsidRDefault="006459AF" w:rsidP="006459AF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0475CD">
        <w:rPr>
          <w:rFonts w:ascii="Verdana" w:hAnsi="Verdana"/>
          <w:sz w:val="20"/>
          <w:szCs w:val="20"/>
          <w:u w:val="single"/>
        </w:rPr>
        <w:t>GPR:</w:t>
      </w:r>
      <w:r w:rsidRPr="000475CD">
        <w:rPr>
          <w:rFonts w:ascii="Verdana" w:hAnsi="Verdana"/>
          <w:sz w:val="20"/>
          <w:szCs w:val="20"/>
        </w:rPr>
        <w:t xml:space="preserve"> Gerência de Produção.</w:t>
      </w:r>
    </w:p>
    <w:p w:rsidR="006459AF" w:rsidRPr="000475CD" w:rsidRDefault="006459AF" w:rsidP="006459AF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0475CD">
        <w:rPr>
          <w:rFonts w:ascii="Verdana" w:hAnsi="Verdana"/>
          <w:sz w:val="20"/>
          <w:szCs w:val="20"/>
          <w:u w:val="single"/>
        </w:rPr>
        <w:t>PAC:</w:t>
      </w:r>
      <w:r w:rsidRPr="000475CD">
        <w:rPr>
          <w:rFonts w:ascii="Verdana" w:hAnsi="Verdana"/>
          <w:sz w:val="20"/>
          <w:szCs w:val="20"/>
        </w:rPr>
        <w:t xml:space="preserve"> Programa de Aceleração de Crescimento.</w:t>
      </w:r>
    </w:p>
    <w:p w:rsidR="006459AF" w:rsidRPr="000475CD" w:rsidRDefault="006459AF" w:rsidP="006459AF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  <w:u w:val="single"/>
        </w:rPr>
        <w:t>RRT:</w:t>
      </w:r>
      <w:r w:rsidRPr="000475CD">
        <w:rPr>
          <w:rFonts w:ascii="Verdana" w:hAnsi="Verdana"/>
          <w:sz w:val="20"/>
          <w:szCs w:val="20"/>
        </w:rPr>
        <w:t xml:space="preserve"> Registro de Responsabilidade Técnica.</w:t>
      </w:r>
    </w:p>
    <w:p w:rsidR="006459AF" w:rsidRPr="00A85254" w:rsidRDefault="006459AF" w:rsidP="006459AF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0475CD">
        <w:rPr>
          <w:rFonts w:ascii="Verdana" w:hAnsi="Verdana"/>
          <w:sz w:val="20"/>
          <w:szCs w:val="20"/>
          <w:u w:val="single"/>
        </w:rPr>
        <w:t>SC/S:</w:t>
      </w:r>
      <w:r w:rsidRPr="000475CD">
        <w:rPr>
          <w:rFonts w:ascii="Verdana" w:hAnsi="Verdana"/>
          <w:sz w:val="20"/>
          <w:szCs w:val="20"/>
        </w:rPr>
        <w:t xml:space="preserve"> Solicitação de Compras/Serviços.</w:t>
      </w:r>
    </w:p>
    <w:p w:rsidR="006459AF" w:rsidRPr="00E006F3" w:rsidRDefault="006459AF" w:rsidP="006459AF">
      <w:pPr>
        <w:pStyle w:val="ListParagraph"/>
        <w:numPr>
          <w:ilvl w:val="1"/>
          <w:numId w:val="2"/>
        </w:numPr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E006F3">
        <w:rPr>
          <w:rFonts w:ascii="Verdana" w:hAnsi="Verdana"/>
          <w:sz w:val="20"/>
          <w:szCs w:val="20"/>
          <w:u w:val="single"/>
        </w:rPr>
        <w:t>Termo de Recebimento Provisório e Definitivo:</w:t>
      </w:r>
      <w:r w:rsidRPr="00E006F3">
        <w:rPr>
          <w:rFonts w:ascii="Verdana" w:hAnsi="Verdana"/>
          <w:sz w:val="20"/>
          <w:szCs w:val="20"/>
        </w:rPr>
        <w:t xml:space="preserve"> Um documento formal circunstanciado, exarado por servidor público ou comissão designada pela autoridade competente, que, após o decurso do prazo de observação ou vistoria, comprova a adequação do objeto aos termos contratuais e o recebe provisória ou definitivamente.</w:t>
      </w:r>
    </w:p>
    <w:p w:rsidR="006459AF" w:rsidRPr="000475CD" w:rsidRDefault="006459AF" w:rsidP="006459AF">
      <w:pPr>
        <w:pStyle w:val="ListParagraph"/>
        <w:spacing w:before="240" w:after="240"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6459AF" w:rsidRDefault="006459AF" w:rsidP="006459AF">
      <w:pPr>
        <w:pStyle w:val="ListParagraph"/>
        <w:spacing w:before="240" w:after="240" w:line="360" w:lineRule="auto"/>
        <w:ind w:hanging="720"/>
        <w:jc w:val="both"/>
        <w:rPr>
          <w:rFonts w:ascii="Verdana" w:hAnsi="Verdana"/>
          <w:b/>
          <w:sz w:val="20"/>
          <w:szCs w:val="20"/>
        </w:rPr>
      </w:pPr>
    </w:p>
    <w:p w:rsidR="006459AF" w:rsidRDefault="006459AF" w:rsidP="006459AF">
      <w:pPr>
        <w:pStyle w:val="ListParagraph"/>
        <w:spacing w:before="240" w:after="240" w:line="360" w:lineRule="auto"/>
        <w:ind w:hanging="720"/>
        <w:jc w:val="both"/>
        <w:rPr>
          <w:rFonts w:ascii="Verdana" w:hAnsi="Verdana"/>
          <w:b/>
          <w:sz w:val="20"/>
          <w:szCs w:val="20"/>
        </w:rPr>
      </w:pPr>
    </w:p>
    <w:p w:rsidR="006459AF" w:rsidRDefault="006459AF" w:rsidP="006459AF">
      <w:pPr>
        <w:pStyle w:val="ListParagraph"/>
        <w:spacing w:before="240" w:after="240" w:line="360" w:lineRule="auto"/>
        <w:ind w:hanging="720"/>
        <w:jc w:val="both"/>
        <w:rPr>
          <w:rFonts w:ascii="Verdana" w:hAnsi="Verdana"/>
          <w:b/>
          <w:sz w:val="20"/>
          <w:szCs w:val="20"/>
        </w:rPr>
      </w:pPr>
    </w:p>
    <w:p w:rsidR="006459AF" w:rsidRPr="000475CD" w:rsidRDefault="006459AF" w:rsidP="006459AF">
      <w:pPr>
        <w:pStyle w:val="ListParagraph"/>
        <w:spacing w:before="240" w:after="240" w:line="360" w:lineRule="auto"/>
        <w:ind w:hanging="720"/>
        <w:jc w:val="both"/>
        <w:rPr>
          <w:rFonts w:ascii="Verdana" w:hAnsi="Verdana"/>
          <w:b/>
          <w:sz w:val="20"/>
          <w:szCs w:val="20"/>
        </w:rPr>
      </w:pPr>
    </w:p>
    <w:p w:rsidR="006459AF" w:rsidRPr="00A85254" w:rsidRDefault="006459AF" w:rsidP="006459AF">
      <w:pPr>
        <w:pStyle w:val="ListParagraph"/>
        <w:numPr>
          <w:ilvl w:val="0"/>
          <w:numId w:val="2"/>
        </w:numPr>
        <w:spacing w:before="240" w:after="240" w:line="360" w:lineRule="auto"/>
        <w:ind w:hanging="720"/>
        <w:jc w:val="both"/>
        <w:rPr>
          <w:rFonts w:ascii="Verdana" w:hAnsi="Verdana"/>
          <w:b/>
          <w:sz w:val="20"/>
          <w:szCs w:val="20"/>
        </w:rPr>
      </w:pPr>
      <w:r w:rsidRPr="000475CD">
        <w:rPr>
          <w:rFonts w:ascii="Verdana" w:hAnsi="Verdana"/>
          <w:b/>
          <w:sz w:val="20"/>
          <w:szCs w:val="20"/>
        </w:rPr>
        <w:lastRenderedPageBreak/>
        <w:t>Diretrizes</w:t>
      </w:r>
    </w:p>
    <w:p w:rsidR="006459AF" w:rsidRPr="00885FB4" w:rsidRDefault="006459AF" w:rsidP="006459AF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  <w:r w:rsidRPr="00885FB4">
        <w:rPr>
          <w:rFonts w:ascii="Verdana" w:hAnsi="Verdana"/>
          <w:b/>
          <w:sz w:val="20"/>
          <w:szCs w:val="20"/>
        </w:rPr>
        <w:t>Planejamento e Projetos</w:t>
      </w:r>
    </w:p>
    <w:p w:rsidR="006459AF" w:rsidRPr="000475CD" w:rsidRDefault="006459AF" w:rsidP="006459AF">
      <w:pPr>
        <w:pStyle w:val="ListParagraph"/>
        <w:numPr>
          <w:ilvl w:val="2"/>
          <w:numId w:val="2"/>
        </w:numPr>
        <w:spacing w:before="240" w:after="240" w:line="360" w:lineRule="auto"/>
        <w:ind w:left="720" w:hanging="11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>A Gerência de Planejamento e Projetos - GPP deve atuar de duas maneiras:</w:t>
      </w:r>
    </w:p>
    <w:p w:rsidR="006459AF" w:rsidRPr="000475CD" w:rsidRDefault="006459AF" w:rsidP="006459AF">
      <w:pPr>
        <w:pStyle w:val="ListParagraph"/>
        <w:numPr>
          <w:ilvl w:val="2"/>
          <w:numId w:val="2"/>
        </w:numPr>
        <w:spacing w:before="240" w:after="240" w:line="360" w:lineRule="auto"/>
        <w:ind w:left="720" w:hanging="11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>Identificação da necessidade pela GPP de execução de projetos e obras do Parque Anhembi ou;</w:t>
      </w:r>
    </w:p>
    <w:p w:rsidR="006459AF" w:rsidRPr="000475CD" w:rsidRDefault="006459AF" w:rsidP="006459AF">
      <w:pPr>
        <w:pStyle w:val="ListParagraph"/>
        <w:numPr>
          <w:ilvl w:val="2"/>
          <w:numId w:val="2"/>
        </w:numPr>
        <w:spacing w:before="240" w:after="240" w:line="360" w:lineRule="auto"/>
        <w:ind w:left="720" w:hanging="11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>Quando a demanda de projetos e obras partir das áreas operacionais da SP Turismo.</w:t>
      </w:r>
    </w:p>
    <w:p w:rsidR="006459AF" w:rsidRPr="000475CD" w:rsidRDefault="006459AF" w:rsidP="006459AF">
      <w:pPr>
        <w:pStyle w:val="ListParagraph"/>
        <w:numPr>
          <w:ilvl w:val="2"/>
          <w:numId w:val="2"/>
        </w:numPr>
        <w:spacing w:before="240" w:after="240" w:line="360" w:lineRule="auto"/>
        <w:ind w:left="720" w:hanging="11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 xml:space="preserve"> A GPP deve ser a responsável por formular e executar o p</w:t>
      </w:r>
      <w:r>
        <w:rPr>
          <w:rFonts w:ascii="Verdana" w:hAnsi="Verdana"/>
          <w:sz w:val="20"/>
          <w:szCs w:val="20"/>
        </w:rPr>
        <w:t>rojeto. Somente quando não possuir</w:t>
      </w:r>
      <w:r w:rsidRPr="000475CD">
        <w:rPr>
          <w:rFonts w:ascii="Verdana" w:hAnsi="Verdana"/>
          <w:sz w:val="20"/>
          <w:szCs w:val="20"/>
        </w:rPr>
        <w:t xml:space="preserve"> as competências </w:t>
      </w:r>
      <w:r w:rsidRPr="00A85254">
        <w:rPr>
          <w:rFonts w:ascii="Verdana" w:hAnsi="Verdana"/>
          <w:sz w:val="20"/>
          <w:szCs w:val="20"/>
        </w:rPr>
        <w:t>necessárias ou o</w:t>
      </w:r>
      <w:r w:rsidRPr="000475CD">
        <w:rPr>
          <w:rFonts w:ascii="Verdana" w:hAnsi="Verdana"/>
          <w:sz w:val="20"/>
          <w:szCs w:val="20"/>
        </w:rPr>
        <w:t xml:space="preserve"> profissional especializado para um determinado projeto, a opção por efetuar a contratação do serviço deve ser realizada. </w:t>
      </w:r>
    </w:p>
    <w:p w:rsidR="006459AF" w:rsidRPr="000475CD" w:rsidRDefault="006459AF" w:rsidP="006459AF">
      <w:pPr>
        <w:pStyle w:val="ListParagraph"/>
        <w:numPr>
          <w:ilvl w:val="2"/>
          <w:numId w:val="2"/>
        </w:numPr>
        <w:spacing w:before="240" w:after="240" w:line="360" w:lineRule="auto"/>
        <w:ind w:left="720" w:hanging="11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>Identificada a necessidade de contratação, tanto para obras novas como para manutenção, a á</w:t>
      </w:r>
      <w:r>
        <w:rPr>
          <w:rFonts w:ascii="Verdana" w:hAnsi="Verdana"/>
          <w:sz w:val="20"/>
          <w:szCs w:val="20"/>
        </w:rPr>
        <w:t>rea deve elaborar uma SC</w:t>
      </w:r>
      <w:r w:rsidRPr="000475CD">
        <w:rPr>
          <w:rFonts w:ascii="Verdana" w:hAnsi="Verdana"/>
          <w:sz w:val="20"/>
          <w:szCs w:val="20"/>
        </w:rPr>
        <w:t>S e enviar para a área de Compras gerar a demanda.</w:t>
      </w:r>
    </w:p>
    <w:p w:rsidR="006459AF" w:rsidRPr="000475CD" w:rsidRDefault="006459AF" w:rsidP="006459AF">
      <w:pPr>
        <w:pStyle w:val="ListParagraph"/>
        <w:numPr>
          <w:ilvl w:val="2"/>
          <w:numId w:val="2"/>
        </w:numPr>
        <w:spacing w:before="240" w:after="240" w:line="360" w:lineRule="auto"/>
        <w:ind w:left="720" w:hanging="11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SC</w:t>
      </w:r>
      <w:r w:rsidRPr="000475CD">
        <w:rPr>
          <w:rFonts w:ascii="Verdana" w:hAnsi="Verdana"/>
          <w:sz w:val="20"/>
          <w:szCs w:val="20"/>
        </w:rPr>
        <w:t>S deve conter um Caderno Técnico (listagem de todas as especificações do respectivo proj</w:t>
      </w:r>
      <w:r>
        <w:rPr>
          <w:rFonts w:ascii="Verdana" w:hAnsi="Verdana"/>
          <w:sz w:val="20"/>
          <w:szCs w:val="20"/>
        </w:rPr>
        <w:t>eto e orçamentos</w:t>
      </w:r>
      <w:r w:rsidRPr="000475CD">
        <w:rPr>
          <w:rFonts w:ascii="Verdana" w:hAnsi="Verdana"/>
          <w:sz w:val="20"/>
          <w:szCs w:val="20"/>
        </w:rPr>
        <w:t xml:space="preserve">) e as Notas Explicativas (dados adicionais que não se fazem necessários no Caderno Técnico, mas que podem gerar questionamentos por parte da área Jurídica). </w:t>
      </w:r>
    </w:p>
    <w:p w:rsidR="006459AF" w:rsidRPr="000475CD" w:rsidRDefault="006459AF" w:rsidP="006459AF">
      <w:pPr>
        <w:pStyle w:val="ListParagraph"/>
        <w:numPr>
          <w:ilvl w:val="2"/>
          <w:numId w:val="2"/>
        </w:numPr>
        <w:spacing w:before="240" w:after="240" w:line="360" w:lineRule="auto"/>
        <w:ind w:left="720" w:hanging="11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GPP</w:t>
      </w:r>
      <w:r w:rsidRPr="000475CD">
        <w:rPr>
          <w:rFonts w:ascii="Verdana" w:hAnsi="Verdana"/>
          <w:sz w:val="20"/>
          <w:szCs w:val="20"/>
        </w:rPr>
        <w:t xml:space="preserve"> deve gerar a </w:t>
      </w:r>
      <w:r>
        <w:rPr>
          <w:rFonts w:ascii="Verdana" w:hAnsi="Verdana"/>
          <w:sz w:val="20"/>
          <w:szCs w:val="20"/>
        </w:rPr>
        <w:t>SCS</w:t>
      </w:r>
      <w:r w:rsidRPr="000475CD">
        <w:rPr>
          <w:rFonts w:ascii="Verdana" w:hAnsi="Verdana"/>
          <w:sz w:val="20"/>
          <w:szCs w:val="20"/>
        </w:rPr>
        <w:t xml:space="preserve"> no sistema Protheus e a GCO</w:t>
      </w:r>
      <w:r>
        <w:rPr>
          <w:rFonts w:ascii="Verdana" w:hAnsi="Verdana"/>
          <w:sz w:val="20"/>
          <w:szCs w:val="20"/>
        </w:rPr>
        <w:t xml:space="preserve"> deve avaliar a solicitação</w:t>
      </w:r>
      <w:r w:rsidRPr="000475CD">
        <w:rPr>
          <w:rFonts w:ascii="Verdana" w:hAnsi="Verdana"/>
          <w:sz w:val="20"/>
          <w:szCs w:val="20"/>
        </w:rPr>
        <w:t xml:space="preserve"> e</w:t>
      </w:r>
      <w:r>
        <w:rPr>
          <w:rFonts w:ascii="Verdana" w:hAnsi="Verdana"/>
          <w:sz w:val="20"/>
          <w:szCs w:val="20"/>
        </w:rPr>
        <w:t>, se necessário,</w:t>
      </w:r>
      <w:r w:rsidRPr="000475CD">
        <w:rPr>
          <w:rFonts w:ascii="Verdana" w:hAnsi="Verdana"/>
          <w:sz w:val="20"/>
          <w:szCs w:val="20"/>
        </w:rPr>
        <w:t xml:space="preserve"> enviá-la para a GJU</w:t>
      </w:r>
      <w:r>
        <w:rPr>
          <w:rFonts w:ascii="Verdana" w:hAnsi="Verdana"/>
          <w:sz w:val="20"/>
          <w:szCs w:val="20"/>
        </w:rPr>
        <w:t xml:space="preserve">. Caso o contrário, a GCO </w:t>
      </w:r>
      <w:r w:rsidRPr="000475CD">
        <w:rPr>
          <w:rFonts w:ascii="Verdana" w:hAnsi="Verdana"/>
          <w:sz w:val="20"/>
          <w:szCs w:val="20"/>
        </w:rPr>
        <w:t>dar</w:t>
      </w:r>
      <w:r>
        <w:rPr>
          <w:rFonts w:ascii="Verdana" w:hAnsi="Verdana"/>
          <w:sz w:val="20"/>
          <w:szCs w:val="20"/>
        </w:rPr>
        <w:t>á</w:t>
      </w:r>
      <w:r w:rsidRPr="000475CD">
        <w:rPr>
          <w:rFonts w:ascii="Verdana" w:hAnsi="Verdana"/>
          <w:sz w:val="20"/>
          <w:szCs w:val="20"/>
        </w:rPr>
        <w:t xml:space="preserve"> prosseguimento a solicitação. </w:t>
      </w:r>
    </w:p>
    <w:p w:rsidR="006459AF" w:rsidRPr="00A85254" w:rsidRDefault="006459AF" w:rsidP="006459AF">
      <w:pPr>
        <w:pStyle w:val="ListParagraph"/>
        <w:numPr>
          <w:ilvl w:val="2"/>
          <w:numId w:val="2"/>
        </w:numPr>
        <w:spacing w:before="240" w:after="240" w:line="360" w:lineRule="auto"/>
        <w:ind w:left="720" w:hanging="11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>A GJU deve analisar o Caderno Técnico e, caso necessário, deve realizar alguns questionamentos para a GPP</w:t>
      </w:r>
      <w:r>
        <w:rPr>
          <w:rFonts w:ascii="Verdana" w:hAnsi="Verdana"/>
          <w:sz w:val="20"/>
          <w:szCs w:val="20"/>
        </w:rPr>
        <w:t xml:space="preserve"> para dúvidas técnicas e GCO para dúvidas de compras,</w:t>
      </w:r>
      <w:r w:rsidRPr="000475CD">
        <w:rPr>
          <w:rFonts w:ascii="Verdana" w:hAnsi="Verdana"/>
          <w:sz w:val="20"/>
          <w:szCs w:val="20"/>
        </w:rPr>
        <w:t xml:space="preserve"> através de e-mail ou CI Folha de Despacho/Informações.</w:t>
      </w:r>
    </w:p>
    <w:p w:rsidR="006459AF" w:rsidRDefault="006459AF" w:rsidP="006459AF">
      <w:pPr>
        <w:pStyle w:val="ListParagraph"/>
        <w:numPr>
          <w:ilvl w:val="2"/>
          <w:numId w:val="2"/>
        </w:numPr>
        <w:spacing w:before="240" w:after="240" w:line="360" w:lineRule="auto"/>
        <w:ind w:left="720" w:hanging="11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>Com todos os pontos esclarecidos, a área de GCO deve prosseguir com o processo de licitação para contratação.</w:t>
      </w:r>
    </w:p>
    <w:p w:rsidR="006459AF" w:rsidRDefault="006459AF" w:rsidP="006459AF">
      <w:pPr>
        <w:pStyle w:val="ListParagraph"/>
        <w:numPr>
          <w:ilvl w:val="2"/>
          <w:numId w:val="2"/>
        </w:numPr>
        <w:spacing w:before="240" w:after="240" w:line="360" w:lineRule="auto"/>
        <w:ind w:left="720" w:hanging="11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 xml:space="preserve">A GPP também deve atuar atendendo as necessidades internas da DMV e da DTU, na adequação das plantas de áreas locáveis e no envio de normas técnicas para os clientes. </w:t>
      </w:r>
    </w:p>
    <w:p w:rsidR="006459AF" w:rsidRDefault="006459AF" w:rsidP="006459AF">
      <w:pPr>
        <w:pStyle w:val="ListParagraph"/>
        <w:numPr>
          <w:ilvl w:val="2"/>
          <w:numId w:val="2"/>
        </w:numPr>
        <w:spacing w:before="240" w:after="240" w:line="360" w:lineRule="auto"/>
        <w:ind w:left="720" w:hanging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GPP elabora os </w:t>
      </w:r>
      <w:r w:rsidRPr="00F61515">
        <w:rPr>
          <w:rFonts w:ascii="Verdana" w:hAnsi="Verdana"/>
          <w:sz w:val="20"/>
          <w:szCs w:val="20"/>
        </w:rPr>
        <w:t>desenhos de áreas locáveis e subsidia a elaboração do caderno de normas técnicas, disponibi</w:t>
      </w:r>
      <w:r>
        <w:rPr>
          <w:rFonts w:ascii="Verdana" w:hAnsi="Verdana"/>
          <w:sz w:val="20"/>
          <w:szCs w:val="20"/>
        </w:rPr>
        <w:t>lizando os documentos para DMV.</w:t>
      </w:r>
    </w:p>
    <w:p w:rsidR="006459AF" w:rsidRPr="000475CD" w:rsidRDefault="006459AF" w:rsidP="006459AF">
      <w:pPr>
        <w:pStyle w:val="ListParagraph"/>
        <w:numPr>
          <w:ilvl w:val="2"/>
          <w:numId w:val="2"/>
        </w:numPr>
        <w:spacing w:before="240" w:after="240" w:line="360" w:lineRule="auto"/>
        <w:ind w:left="720" w:hanging="11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 xml:space="preserve">A </w:t>
      </w:r>
      <w:r w:rsidRPr="007C458F">
        <w:rPr>
          <w:rFonts w:ascii="Verdana" w:hAnsi="Verdana"/>
          <w:sz w:val="20"/>
          <w:szCs w:val="20"/>
        </w:rPr>
        <w:t>GPP</w:t>
      </w:r>
      <w:r w:rsidRPr="000475CD">
        <w:rPr>
          <w:rFonts w:ascii="Verdana" w:hAnsi="Verdana"/>
          <w:sz w:val="20"/>
          <w:szCs w:val="20"/>
        </w:rPr>
        <w:t xml:space="preserve"> também deve analisar as plantas dos eventos e deve solicitar modificações quando necessário, por exemplo, para desobstrução das rotas </w:t>
      </w:r>
      <w:r w:rsidRPr="000475CD">
        <w:rPr>
          <w:rFonts w:ascii="Verdana" w:hAnsi="Verdana"/>
          <w:sz w:val="20"/>
          <w:szCs w:val="20"/>
        </w:rPr>
        <w:lastRenderedPageBreak/>
        <w:t>de fuga e equipamento de combate de incêndio</w:t>
      </w:r>
      <w:r>
        <w:rPr>
          <w:rFonts w:ascii="Verdana" w:hAnsi="Verdana"/>
          <w:sz w:val="20"/>
          <w:szCs w:val="20"/>
        </w:rPr>
        <w:t>, ou a correta ocupação das áreas contratadas</w:t>
      </w:r>
      <w:r w:rsidRPr="000475CD">
        <w:rPr>
          <w:rFonts w:ascii="Verdana" w:hAnsi="Verdana"/>
          <w:sz w:val="20"/>
          <w:szCs w:val="20"/>
        </w:rPr>
        <w:t>.</w:t>
      </w:r>
    </w:p>
    <w:p w:rsidR="006459AF" w:rsidRPr="000475CD" w:rsidRDefault="006459AF" w:rsidP="006459AF">
      <w:pPr>
        <w:pStyle w:val="ListParagraph"/>
        <w:numPr>
          <w:ilvl w:val="2"/>
          <w:numId w:val="2"/>
        </w:numPr>
        <w:spacing w:before="240" w:after="240" w:line="360" w:lineRule="auto"/>
        <w:ind w:left="720" w:hanging="11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 xml:space="preserve"> A GPP deve aprovar as plantas referentes aos eventos e envia-las para a GOP (Gerência de Operações) e GPR (Gerência de Produção).  </w:t>
      </w:r>
    </w:p>
    <w:p w:rsidR="006459AF" w:rsidRDefault="006459AF" w:rsidP="006459AF">
      <w:pPr>
        <w:pStyle w:val="ListParagraph"/>
        <w:numPr>
          <w:ilvl w:val="2"/>
          <w:numId w:val="2"/>
        </w:numPr>
        <w:spacing w:before="240" w:after="240" w:line="360" w:lineRule="auto"/>
        <w:ind w:left="720" w:hanging="11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GPP </w:t>
      </w:r>
      <w:r w:rsidRPr="000475CD">
        <w:rPr>
          <w:rFonts w:ascii="Verdana" w:hAnsi="Verdana"/>
          <w:sz w:val="20"/>
          <w:szCs w:val="20"/>
        </w:rPr>
        <w:t>deve ser responsável por acompanhar e solicitar do cliente as cópias das documentações que serão encaminhadas aos órgãos públicos, para obtenção de Alvará e AVCB (temporários) do evento em questão.</w:t>
      </w:r>
      <w:r w:rsidRPr="00F61515">
        <w:t xml:space="preserve"> </w:t>
      </w:r>
      <w:r>
        <w:rPr>
          <w:rFonts w:ascii="Verdana" w:hAnsi="Verdana"/>
          <w:sz w:val="20"/>
          <w:szCs w:val="20"/>
        </w:rPr>
        <w:t>É também de responsabilidade da GPP</w:t>
      </w:r>
      <w:r w:rsidRPr="00F61515">
        <w:rPr>
          <w:rFonts w:ascii="Verdana" w:hAnsi="Verdana"/>
          <w:sz w:val="20"/>
          <w:szCs w:val="20"/>
        </w:rPr>
        <w:t xml:space="preserve"> todos os alvarás de funcionamento, AVCBs e outras licenças e aprovações não apenas dos eventos, mas também às edificações permanentes, projetos e obras, em diversos órgãos públicos (SMUL, SMT/CET, SMC/DPH/CONPRESP, Corpo de Bombeiros, SMVA, CETE</w:t>
      </w:r>
      <w:r>
        <w:rPr>
          <w:rFonts w:ascii="Verdana" w:hAnsi="Verdana"/>
          <w:sz w:val="20"/>
          <w:szCs w:val="20"/>
        </w:rPr>
        <w:t>SB, ANAC, etc),</w:t>
      </w:r>
      <w:r w:rsidRPr="00F61515">
        <w:rPr>
          <w:rFonts w:ascii="Verdana" w:hAnsi="Verdana"/>
          <w:sz w:val="20"/>
          <w:szCs w:val="20"/>
        </w:rPr>
        <w:t xml:space="preserve"> para o Parque Anhembi e Autódromo.</w:t>
      </w:r>
    </w:p>
    <w:p w:rsidR="006459AF" w:rsidRPr="000475CD" w:rsidRDefault="006459AF" w:rsidP="006459AF">
      <w:pPr>
        <w:pStyle w:val="ListParagraph"/>
        <w:numPr>
          <w:ilvl w:val="3"/>
          <w:numId w:val="2"/>
        </w:numPr>
        <w:spacing w:before="240" w:after="240" w:line="360" w:lineRule="auto"/>
        <w:ind w:left="1440" w:hanging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A</w:t>
      </w:r>
      <w:r w:rsidRPr="00F61515">
        <w:rPr>
          <w:rFonts w:ascii="Verdana" w:hAnsi="Verdana"/>
          <w:sz w:val="20"/>
          <w:szCs w:val="20"/>
        </w:rPr>
        <w:t xml:space="preserve"> GPP também é responsável por acompanhar toda a montagem do Carnaval e Fórmula 1</w:t>
      </w:r>
      <w:r>
        <w:rPr>
          <w:rFonts w:ascii="Verdana" w:hAnsi="Verdana"/>
          <w:sz w:val="20"/>
          <w:szCs w:val="20"/>
        </w:rPr>
        <w:t xml:space="preserve"> (um)</w:t>
      </w:r>
      <w:r w:rsidRPr="00F61515">
        <w:rPr>
          <w:rFonts w:ascii="Verdana" w:hAnsi="Verdana"/>
          <w:sz w:val="20"/>
          <w:szCs w:val="20"/>
        </w:rPr>
        <w:t>, evento que demanda fortemente a equipe tanto do ponto de vista de aprovações juntos aos órgãos públicos, bem como acompanhamento das montagens, documentação, gestão de contratos. A alocação dos recursos da DIE nesses 2</w:t>
      </w:r>
      <w:r>
        <w:rPr>
          <w:rFonts w:ascii="Verdana" w:hAnsi="Verdana"/>
          <w:sz w:val="20"/>
          <w:szCs w:val="20"/>
        </w:rPr>
        <w:t xml:space="preserve"> (dois)</w:t>
      </w:r>
      <w:r w:rsidRPr="00F61515">
        <w:rPr>
          <w:rFonts w:ascii="Verdana" w:hAnsi="Verdana"/>
          <w:sz w:val="20"/>
          <w:szCs w:val="20"/>
        </w:rPr>
        <w:t xml:space="preserve"> eventos é significativa</w:t>
      </w:r>
    </w:p>
    <w:p w:rsidR="006459AF" w:rsidRPr="000475CD" w:rsidRDefault="006459AF" w:rsidP="006459AF">
      <w:pPr>
        <w:pStyle w:val="ListParagraph"/>
        <w:numPr>
          <w:ilvl w:val="2"/>
          <w:numId w:val="2"/>
        </w:numPr>
        <w:spacing w:before="240" w:after="240" w:line="360" w:lineRule="auto"/>
        <w:ind w:left="720" w:hanging="11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>No processo de contratação, a GPP deve dar suporte a GCO, agendando e realizando vistorias técnicas com os interessados nas licitações, bem como, deve esclarecer todas as dúvidas levantadas por estes.</w:t>
      </w:r>
    </w:p>
    <w:p w:rsidR="006459AF" w:rsidRPr="000475CD" w:rsidRDefault="006459AF" w:rsidP="006459AF">
      <w:pPr>
        <w:pStyle w:val="ListParagraph"/>
        <w:numPr>
          <w:ilvl w:val="2"/>
          <w:numId w:val="2"/>
        </w:numPr>
        <w:spacing w:before="240" w:after="240" w:line="360" w:lineRule="auto"/>
        <w:ind w:left="720" w:hanging="11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 xml:space="preserve">Definida a contratação, a GPP </w:t>
      </w:r>
      <w:r>
        <w:rPr>
          <w:rFonts w:ascii="Verdana" w:hAnsi="Verdana"/>
          <w:sz w:val="20"/>
          <w:szCs w:val="20"/>
        </w:rPr>
        <w:t>definirá em conjunto com a contratada o plano de trabalho e cronograma de execução.</w:t>
      </w:r>
    </w:p>
    <w:p w:rsidR="006459AF" w:rsidRPr="00621B31" w:rsidRDefault="006459AF" w:rsidP="006459AF">
      <w:pPr>
        <w:pStyle w:val="ListParagraph"/>
        <w:numPr>
          <w:ilvl w:val="2"/>
          <w:numId w:val="2"/>
        </w:numPr>
        <w:spacing w:before="240" w:after="240" w:line="360" w:lineRule="auto"/>
        <w:ind w:left="720" w:hanging="11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GIE (Gerência de Implantação de Empreendimentos) /GPP (Gerência de Planejamento e Projetos,</w:t>
      </w:r>
      <w:r w:rsidRPr="000475CD">
        <w:rPr>
          <w:rFonts w:ascii="Verdana" w:hAnsi="Verdana"/>
          <w:sz w:val="20"/>
          <w:szCs w:val="20"/>
        </w:rPr>
        <w:t xml:space="preserve"> designará a fiscalização a um dos colaboradores da SP Turismo, que emitirá uma ART</w:t>
      </w:r>
      <w:r>
        <w:rPr>
          <w:rFonts w:ascii="Verdana" w:hAnsi="Verdana"/>
          <w:sz w:val="20"/>
          <w:szCs w:val="20"/>
        </w:rPr>
        <w:t xml:space="preserve"> ou RRT</w:t>
      </w:r>
      <w:r w:rsidRPr="000475CD">
        <w:rPr>
          <w:rFonts w:ascii="Verdana" w:hAnsi="Verdana"/>
          <w:sz w:val="20"/>
          <w:szCs w:val="20"/>
        </w:rPr>
        <w:t xml:space="preserve"> de fiscalização da obra ou serviços a serem executados pela contratada.</w:t>
      </w:r>
      <w:r w:rsidRPr="00621B31">
        <w:t xml:space="preserve"> </w:t>
      </w:r>
      <w:r w:rsidRPr="00621B31">
        <w:rPr>
          <w:rFonts w:ascii="Verdana" w:hAnsi="Verdana"/>
          <w:sz w:val="20"/>
          <w:szCs w:val="20"/>
        </w:rPr>
        <w:t>Este profissional deverá fiscalizar todas as etapas de realização dos serviços e será responsável por emitir ARTs ou RRTs de fiscalização, boletins de medições, liberações de pagamentos e por fim deve emitir Termo de Recibos Provisórios e Definitivos referente a prestação dos serviços.</w:t>
      </w:r>
    </w:p>
    <w:p w:rsidR="006459AF" w:rsidRPr="000475CD" w:rsidRDefault="006459AF" w:rsidP="006459AF">
      <w:pPr>
        <w:pStyle w:val="ListParagraph"/>
        <w:numPr>
          <w:ilvl w:val="2"/>
          <w:numId w:val="2"/>
        </w:numPr>
        <w:spacing w:before="240" w:after="240" w:line="360" w:lineRule="auto"/>
        <w:ind w:left="720" w:hanging="1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GIE</w:t>
      </w:r>
      <w:r w:rsidRPr="000475CD">
        <w:rPr>
          <w:rFonts w:ascii="Verdana" w:hAnsi="Verdana"/>
          <w:sz w:val="20"/>
          <w:szCs w:val="20"/>
        </w:rPr>
        <w:t xml:space="preserve"> deve receber as documentações e as planilhas de medições elaboradas e entregues pela contratada, que serão analisadas</w:t>
      </w:r>
      <w:r>
        <w:rPr>
          <w:rFonts w:ascii="Verdana" w:hAnsi="Verdana"/>
          <w:sz w:val="20"/>
          <w:szCs w:val="20"/>
        </w:rPr>
        <w:t xml:space="preserve"> e aprovadas</w:t>
      </w:r>
      <w:r w:rsidRPr="000475CD">
        <w:rPr>
          <w:rFonts w:ascii="Verdana" w:hAnsi="Verdana"/>
          <w:sz w:val="20"/>
          <w:szCs w:val="20"/>
        </w:rPr>
        <w:t xml:space="preserve"> desde que estejam de acordo com o cronograma </w:t>
      </w:r>
      <w:r>
        <w:rPr>
          <w:rFonts w:ascii="Verdana" w:hAnsi="Verdana"/>
          <w:sz w:val="20"/>
          <w:szCs w:val="20"/>
        </w:rPr>
        <w:t>físico-</w:t>
      </w:r>
      <w:r w:rsidRPr="000475CD">
        <w:rPr>
          <w:rFonts w:ascii="Verdana" w:hAnsi="Verdana"/>
          <w:sz w:val="20"/>
          <w:szCs w:val="20"/>
        </w:rPr>
        <w:t xml:space="preserve">financeiro de obra. </w:t>
      </w:r>
    </w:p>
    <w:p w:rsidR="006459AF" w:rsidRPr="000475CD" w:rsidRDefault="006459AF" w:rsidP="006459AF">
      <w:pPr>
        <w:pStyle w:val="ListParagraph"/>
        <w:numPr>
          <w:ilvl w:val="2"/>
          <w:numId w:val="2"/>
        </w:numPr>
        <w:spacing w:before="240" w:after="240" w:line="360" w:lineRule="auto"/>
        <w:ind w:left="720" w:hanging="11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lastRenderedPageBreak/>
        <w:t xml:space="preserve">Para cada etapa das medições e finalização dos trabalhos será emitido um AELP – Atestado de Execução e Liberação e Pagamento, liberando o pagamento correspondente e encaminhando a GDC.  </w:t>
      </w:r>
    </w:p>
    <w:p w:rsidR="006459AF" w:rsidRPr="000475CD" w:rsidRDefault="006459AF" w:rsidP="006459AF">
      <w:pPr>
        <w:pStyle w:val="ListParagraph"/>
        <w:numPr>
          <w:ilvl w:val="2"/>
          <w:numId w:val="2"/>
        </w:numPr>
        <w:spacing w:before="240" w:after="240" w:line="360" w:lineRule="auto"/>
        <w:ind w:left="720" w:hanging="11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>Para os casos de obras e implantações de equipamentos, a GPP deve realizar um trabalho posterior de acompanhamento do funcionamento das obras ou equipamentos no período de garantias contratuais.</w:t>
      </w:r>
    </w:p>
    <w:p w:rsidR="006459AF" w:rsidRPr="000475CD" w:rsidRDefault="006459AF" w:rsidP="006459AF">
      <w:pPr>
        <w:pStyle w:val="ListParagraph"/>
        <w:numPr>
          <w:ilvl w:val="2"/>
          <w:numId w:val="2"/>
        </w:numPr>
        <w:spacing w:before="240" w:after="240" w:line="360" w:lineRule="auto"/>
        <w:ind w:left="720" w:hanging="11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 xml:space="preserve">A GPP também deve apoiar à GJU (Gerência Jurídica) em conflitos que envolvam as instalações e equipamentos do Parque Anhembi. </w:t>
      </w:r>
    </w:p>
    <w:p w:rsidR="006459AF" w:rsidRPr="000475CD" w:rsidRDefault="006459AF" w:rsidP="006459AF">
      <w:pPr>
        <w:pStyle w:val="ListParagraph"/>
        <w:numPr>
          <w:ilvl w:val="2"/>
          <w:numId w:val="2"/>
        </w:numPr>
        <w:spacing w:before="240" w:after="240" w:line="360" w:lineRule="auto"/>
        <w:ind w:left="720" w:hanging="11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 xml:space="preserve">A </w:t>
      </w:r>
      <w:r w:rsidRPr="007C458F">
        <w:rPr>
          <w:rFonts w:ascii="Verdana" w:hAnsi="Verdana"/>
          <w:sz w:val="20"/>
          <w:szCs w:val="20"/>
        </w:rPr>
        <w:t>GIE</w:t>
      </w:r>
      <w:r>
        <w:rPr>
          <w:rFonts w:ascii="Verdana" w:hAnsi="Verdana"/>
          <w:sz w:val="20"/>
          <w:szCs w:val="20"/>
        </w:rPr>
        <w:t>/GPP</w:t>
      </w:r>
      <w:r w:rsidRPr="000475CD">
        <w:rPr>
          <w:rFonts w:ascii="Verdana" w:hAnsi="Verdana"/>
          <w:sz w:val="20"/>
          <w:szCs w:val="20"/>
        </w:rPr>
        <w:t xml:space="preserve"> também deve fornecer subsídios como tempo de implantação, características técnicas, diários de obras do período de execução, vícios e defeitos apresentados por insumos e serviços, etc.</w:t>
      </w:r>
    </w:p>
    <w:p w:rsidR="006459AF" w:rsidRPr="000475CD" w:rsidRDefault="006459AF" w:rsidP="006459AF">
      <w:pPr>
        <w:pStyle w:val="ListParagraph"/>
        <w:numPr>
          <w:ilvl w:val="2"/>
          <w:numId w:val="2"/>
        </w:numPr>
        <w:spacing w:before="240" w:after="240" w:line="360" w:lineRule="auto"/>
        <w:ind w:left="720" w:hanging="11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GPP</w:t>
      </w:r>
      <w:r w:rsidRPr="000475CD">
        <w:rPr>
          <w:rFonts w:ascii="Verdana" w:hAnsi="Verdana"/>
          <w:sz w:val="20"/>
          <w:szCs w:val="20"/>
        </w:rPr>
        <w:t xml:space="preserve"> deve atuar de maneira pró ativa no campo de relações públicas, deve receber alunos de graduação das áreas de Engenharia e Arquitetura de diversas instituições de ensino, para apresentação de suas instalações, projetos e estudos em andamento.</w:t>
      </w:r>
    </w:p>
    <w:p w:rsidR="006459AF" w:rsidRPr="000475CD" w:rsidRDefault="006459AF" w:rsidP="006459AF">
      <w:pPr>
        <w:pStyle w:val="ListParagraph"/>
        <w:spacing w:before="240" w:after="240" w:line="360" w:lineRule="auto"/>
        <w:ind w:hanging="720"/>
        <w:jc w:val="both"/>
        <w:rPr>
          <w:rFonts w:ascii="Verdana" w:hAnsi="Verdana"/>
          <w:sz w:val="20"/>
          <w:szCs w:val="20"/>
        </w:rPr>
      </w:pPr>
    </w:p>
    <w:p w:rsidR="006459AF" w:rsidRPr="000475CD" w:rsidRDefault="006459AF" w:rsidP="006459AF">
      <w:pPr>
        <w:pStyle w:val="ListParagraph"/>
        <w:numPr>
          <w:ilvl w:val="0"/>
          <w:numId w:val="2"/>
        </w:numPr>
        <w:spacing w:before="240" w:after="240" w:line="360" w:lineRule="auto"/>
        <w:ind w:hanging="720"/>
        <w:jc w:val="both"/>
        <w:rPr>
          <w:rFonts w:ascii="Verdana" w:hAnsi="Verdana"/>
          <w:b/>
          <w:sz w:val="20"/>
          <w:szCs w:val="20"/>
        </w:rPr>
      </w:pPr>
      <w:r w:rsidRPr="000475CD">
        <w:rPr>
          <w:rFonts w:ascii="Verdana" w:hAnsi="Verdana"/>
          <w:b/>
          <w:sz w:val="20"/>
          <w:szCs w:val="20"/>
        </w:rPr>
        <w:t>Penalidades</w:t>
      </w:r>
    </w:p>
    <w:p w:rsidR="006459AF" w:rsidRPr="000475CD" w:rsidRDefault="006459AF" w:rsidP="006459A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Pr="000475CD">
        <w:rPr>
          <w:rFonts w:ascii="Verdana" w:hAnsi="Verdana"/>
          <w:b/>
          <w:sz w:val="20"/>
          <w:szCs w:val="20"/>
        </w:rPr>
        <w:t>NG GRH 0</w:t>
      </w:r>
      <w:r>
        <w:rPr>
          <w:rFonts w:ascii="Verdana" w:hAnsi="Verdana"/>
          <w:b/>
          <w:sz w:val="20"/>
          <w:szCs w:val="20"/>
        </w:rPr>
        <w:t>7</w:t>
      </w:r>
      <w:r w:rsidRPr="000475CD">
        <w:rPr>
          <w:rFonts w:ascii="Verdana" w:hAnsi="Verdana"/>
          <w:b/>
          <w:sz w:val="20"/>
          <w:szCs w:val="20"/>
        </w:rPr>
        <w:t xml:space="preserve"> - Conduta Funcional</w:t>
      </w:r>
      <w:r w:rsidRPr="000475CD">
        <w:rPr>
          <w:rFonts w:ascii="Verdana" w:hAnsi="Verdana"/>
          <w:sz w:val="20"/>
          <w:szCs w:val="20"/>
        </w:rPr>
        <w:t>, no caso de descumprimento desta Norma.</w:t>
      </w:r>
    </w:p>
    <w:p w:rsidR="006459AF" w:rsidRPr="000475CD" w:rsidRDefault="006459AF" w:rsidP="006459AF">
      <w:pPr>
        <w:pStyle w:val="ListParagraph"/>
        <w:spacing w:before="240" w:after="240" w:line="360" w:lineRule="auto"/>
        <w:ind w:hanging="720"/>
        <w:jc w:val="both"/>
        <w:rPr>
          <w:rFonts w:ascii="Verdana" w:hAnsi="Verdana"/>
          <w:b/>
          <w:sz w:val="20"/>
          <w:szCs w:val="20"/>
        </w:rPr>
      </w:pPr>
    </w:p>
    <w:p w:rsidR="006459AF" w:rsidRPr="000475CD" w:rsidRDefault="006459AF" w:rsidP="006459AF">
      <w:pPr>
        <w:pStyle w:val="ListParagraph"/>
        <w:numPr>
          <w:ilvl w:val="0"/>
          <w:numId w:val="2"/>
        </w:numPr>
        <w:spacing w:before="240" w:after="240" w:line="360" w:lineRule="auto"/>
        <w:ind w:hanging="720"/>
        <w:jc w:val="both"/>
        <w:rPr>
          <w:rFonts w:ascii="Verdana" w:hAnsi="Verdana"/>
          <w:b/>
          <w:sz w:val="20"/>
          <w:szCs w:val="20"/>
        </w:rPr>
      </w:pPr>
      <w:r w:rsidRPr="000475CD">
        <w:rPr>
          <w:rFonts w:ascii="Verdana" w:hAnsi="Verdana"/>
          <w:b/>
          <w:sz w:val="20"/>
          <w:szCs w:val="20"/>
        </w:rPr>
        <w:t xml:space="preserve">Legislação básica </w:t>
      </w:r>
    </w:p>
    <w:p w:rsidR="006459AF" w:rsidRPr="000475CD" w:rsidRDefault="006459AF" w:rsidP="006459AF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  <w:r w:rsidRPr="000475CD">
        <w:rPr>
          <w:rFonts w:ascii="Verdana" w:hAnsi="Verdana"/>
          <w:sz w:val="20"/>
          <w:szCs w:val="20"/>
          <w:shd w:val="clear" w:color="auto" w:fill="FFFFFF"/>
        </w:rPr>
        <w:t>LEI FEDERAL Nº 13.303 - Lei de Responsabilidade das Estatais</w:t>
      </w:r>
    </w:p>
    <w:p w:rsidR="006459AF" w:rsidRPr="000475CD" w:rsidRDefault="006459AF" w:rsidP="006459A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>LEI FEDERAL Nº 8.666/93 - Institui normas para licitações e contratos para a Administração Pública.</w:t>
      </w:r>
    </w:p>
    <w:p w:rsidR="006459AF" w:rsidRPr="000475CD" w:rsidRDefault="006459AF" w:rsidP="006459AF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>LEI FEDERAL Nº 12.813 - Lei de Conflito de Interesses</w:t>
      </w:r>
    </w:p>
    <w:p w:rsidR="006459AF" w:rsidRPr="000475CD" w:rsidRDefault="006459AF" w:rsidP="006459AF">
      <w:pPr>
        <w:pStyle w:val="ListParagraph"/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</w:p>
    <w:p w:rsidR="006459AF" w:rsidRPr="000475CD" w:rsidRDefault="006459AF" w:rsidP="006459AF">
      <w:pPr>
        <w:pStyle w:val="ListParagraph"/>
        <w:numPr>
          <w:ilvl w:val="0"/>
          <w:numId w:val="2"/>
        </w:numPr>
        <w:spacing w:before="240" w:after="240" w:line="360" w:lineRule="auto"/>
        <w:ind w:hanging="720"/>
        <w:jc w:val="both"/>
        <w:rPr>
          <w:rFonts w:ascii="Verdana" w:hAnsi="Verdana"/>
          <w:b/>
          <w:sz w:val="20"/>
          <w:szCs w:val="20"/>
        </w:rPr>
      </w:pPr>
      <w:r w:rsidRPr="000475CD">
        <w:rPr>
          <w:rFonts w:ascii="Verdana" w:hAnsi="Verdana"/>
          <w:b/>
          <w:sz w:val="20"/>
          <w:szCs w:val="20"/>
        </w:rPr>
        <w:t>Anexos</w:t>
      </w:r>
    </w:p>
    <w:p w:rsidR="006459AF" w:rsidRPr="000475CD" w:rsidRDefault="006459AF" w:rsidP="006459AF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Não existem anexos referentes a esta norma.</w:t>
      </w:r>
    </w:p>
    <w:p w:rsidR="006459AF" w:rsidRPr="000475CD" w:rsidRDefault="006459AF" w:rsidP="006459AF">
      <w:pPr>
        <w:pStyle w:val="ListParagraph"/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</w:p>
    <w:p w:rsidR="006459AF" w:rsidRPr="000475CD" w:rsidRDefault="006459AF" w:rsidP="006459AF">
      <w:pPr>
        <w:pStyle w:val="ListParagraph"/>
        <w:numPr>
          <w:ilvl w:val="0"/>
          <w:numId w:val="2"/>
        </w:numPr>
        <w:spacing w:before="240" w:after="240" w:line="360" w:lineRule="auto"/>
        <w:ind w:hanging="720"/>
        <w:jc w:val="both"/>
        <w:rPr>
          <w:rFonts w:ascii="Verdana" w:hAnsi="Verdana"/>
          <w:b/>
          <w:sz w:val="20"/>
          <w:szCs w:val="20"/>
        </w:rPr>
      </w:pPr>
      <w:r w:rsidRPr="000475CD">
        <w:rPr>
          <w:rFonts w:ascii="Verdana" w:hAnsi="Verdana"/>
          <w:b/>
          <w:sz w:val="20"/>
          <w:szCs w:val="20"/>
        </w:rPr>
        <w:t>Revisões</w:t>
      </w:r>
    </w:p>
    <w:p w:rsidR="006459AF" w:rsidRPr="000475CD" w:rsidRDefault="006459AF" w:rsidP="006459AF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475CD">
        <w:rPr>
          <w:rFonts w:ascii="Verdana" w:hAnsi="Verdana"/>
          <w:sz w:val="20"/>
          <w:szCs w:val="20"/>
        </w:rPr>
        <w:t>Anualmente, as definições e diretrizes desta norma devem se</w:t>
      </w:r>
      <w:r>
        <w:rPr>
          <w:rFonts w:ascii="Verdana" w:hAnsi="Verdana"/>
          <w:sz w:val="20"/>
          <w:szCs w:val="20"/>
        </w:rPr>
        <w:t xml:space="preserve">r revisadas e aprovadas pela GPP </w:t>
      </w:r>
      <w:r w:rsidRPr="000475CD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Gerência de Planejamento e Projetos</w:t>
      </w:r>
      <w:r w:rsidRPr="000475CD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E GIE (Gerência de Implantação de Empreendimentos)</w:t>
      </w:r>
      <w:r w:rsidRPr="000475CD">
        <w:rPr>
          <w:rFonts w:ascii="Verdana" w:hAnsi="Verdana"/>
          <w:sz w:val="20"/>
          <w:szCs w:val="20"/>
        </w:rPr>
        <w:t>.</w:t>
      </w:r>
    </w:p>
    <w:p w:rsidR="006459AF" w:rsidRDefault="006459AF" w:rsidP="006459AF">
      <w:pPr>
        <w:pStyle w:val="ListParagraph"/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</w:p>
    <w:p w:rsidR="006459AF" w:rsidRPr="000475CD" w:rsidRDefault="006459AF" w:rsidP="006459AF">
      <w:pPr>
        <w:pStyle w:val="ListParagraph"/>
        <w:spacing w:before="240" w:after="240" w:line="360" w:lineRule="auto"/>
        <w:jc w:val="both"/>
        <w:rPr>
          <w:rFonts w:ascii="Verdana" w:hAnsi="Verdana"/>
          <w:b/>
          <w:sz w:val="20"/>
          <w:szCs w:val="20"/>
        </w:rPr>
      </w:pPr>
    </w:p>
    <w:p w:rsidR="006459AF" w:rsidRPr="000475CD" w:rsidRDefault="006459AF" w:rsidP="006459AF">
      <w:pPr>
        <w:pStyle w:val="ListParagraph"/>
        <w:numPr>
          <w:ilvl w:val="0"/>
          <w:numId w:val="2"/>
        </w:numPr>
        <w:spacing w:before="240" w:after="240" w:line="360" w:lineRule="auto"/>
        <w:ind w:hanging="720"/>
        <w:jc w:val="both"/>
        <w:rPr>
          <w:rFonts w:ascii="Verdana" w:hAnsi="Verdana"/>
          <w:b/>
          <w:sz w:val="20"/>
          <w:szCs w:val="20"/>
        </w:rPr>
      </w:pPr>
      <w:r w:rsidRPr="000475CD">
        <w:rPr>
          <w:rFonts w:ascii="Verdana" w:hAnsi="Verdana"/>
          <w:b/>
          <w:sz w:val="20"/>
          <w:szCs w:val="20"/>
        </w:rPr>
        <w:lastRenderedPageBreak/>
        <w:t>Histórico de alterações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4"/>
        <w:gridCol w:w="1268"/>
        <w:gridCol w:w="1466"/>
        <w:gridCol w:w="1747"/>
        <w:gridCol w:w="3145"/>
      </w:tblGrid>
      <w:tr w:rsidR="006459AF" w:rsidRPr="000475CD" w:rsidTr="00CE46BA">
        <w:trPr>
          <w:trHeight w:val="230"/>
        </w:trPr>
        <w:tc>
          <w:tcPr>
            <w:tcW w:w="1094" w:type="dxa"/>
            <w:vMerge w:val="restart"/>
            <w:shd w:val="clear" w:color="auto" w:fill="C0C0C0"/>
            <w:vAlign w:val="center"/>
          </w:tcPr>
          <w:p w:rsidR="006459AF" w:rsidRPr="000475CD" w:rsidRDefault="006459AF" w:rsidP="00CE46BA">
            <w:pPr>
              <w:spacing w:before="240" w:after="240" w:line="360" w:lineRule="auto"/>
              <w:ind w:left="720" w:hanging="720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475CD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459AF" w:rsidRPr="000475CD" w:rsidRDefault="006459AF" w:rsidP="00CE46BA">
            <w:pPr>
              <w:spacing w:before="240" w:after="240" w:line="360" w:lineRule="auto"/>
              <w:ind w:left="720" w:hanging="720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475CD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1809" w:type="dxa"/>
            <w:vMerge w:val="restart"/>
            <w:shd w:val="clear" w:color="auto" w:fill="C0C0C0"/>
            <w:vAlign w:val="center"/>
          </w:tcPr>
          <w:p w:rsidR="006459AF" w:rsidRPr="000475CD" w:rsidRDefault="006459AF" w:rsidP="00CE46BA">
            <w:pPr>
              <w:spacing w:before="240" w:after="240" w:line="360" w:lineRule="auto"/>
              <w:ind w:left="720" w:hanging="720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475CD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3417" w:type="dxa"/>
            <w:vMerge w:val="restart"/>
            <w:shd w:val="clear" w:color="auto" w:fill="C0C0C0"/>
            <w:vAlign w:val="center"/>
          </w:tcPr>
          <w:p w:rsidR="006459AF" w:rsidRPr="000475CD" w:rsidRDefault="006459AF" w:rsidP="00CE46BA">
            <w:pPr>
              <w:spacing w:before="240" w:after="240" w:line="360" w:lineRule="auto"/>
              <w:ind w:left="720" w:hanging="720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475CD">
              <w:rPr>
                <w:rFonts w:ascii="Verdana" w:hAnsi="Verdana"/>
                <w:b/>
                <w:sz w:val="20"/>
                <w:szCs w:val="20"/>
              </w:rPr>
              <w:t>Revisores / Aprovadores</w:t>
            </w:r>
          </w:p>
        </w:tc>
      </w:tr>
      <w:tr w:rsidR="006459AF" w:rsidRPr="000475CD" w:rsidTr="00CE46BA">
        <w:trPr>
          <w:trHeight w:val="184"/>
        </w:trPr>
        <w:tc>
          <w:tcPr>
            <w:tcW w:w="0" w:type="auto"/>
            <w:vMerge/>
          </w:tcPr>
          <w:p w:rsidR="006459AF" w:rsidRPr="000475CD" w:rsidRDefault="006459AF" w:rsidP="00CE46BA">
            <w:pPr>
              <w:spacing w:before="240" w:after="240" w:line="360" w:lineRule="auto"/>
              <w:ind w:left="720" w:hanging="72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459AF" w:rsidRPr="000475CD" w:rsidRDefault="006459AF" w:rsidP="00CE46BA">
            <w:pPr>
              <w:spacing w:before="240" w:after="240" w:line="360" w:lineRule="auto"/>
              <w:ind w:left="720" w:hanging="72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475CD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459AF" w:rsidRPr="000475CD" w:rsidRDefault="006459AF" w:rsidP="00CE46BA">
            <w:pPr>
              <w:spacing w:before="240" w:after="240" w:line="360" w:lineRule="auto"/>
              <w:ind w:left="720" w:hanging="72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475CD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1809" w:type="dxa"/>
            <w:vMerge/>
          </w:tcPr>
          <w:p w:rsidR="006459AF" w:rsidRPr="000475CD" w:rsidRDefault="006459AF" w:rsidP="00CE46BA">
            <w:pPr>
              <w:spacing w:before="240" w:after="240" w:line="360" w:lineRule="auto"/>
              <w:ind w:left="720" w:hanging="72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17" w:type="dxa"/>
            <w:vMerge/>
          </w:tcPr>
          <w:p w:rsidR="006459AF" w:rsidRPr="000475CD" w:rsidRDefault="006459AF" w:rsidP="00CE46BA">
            <w:pPr>
              <w:spacing w:before="240" w:after="240" w:line="360" w:lineRule="auto"/>
              <w:ind w:left="720" w:hanging="72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459AF" w:rsidRPr="000475CD" w:rsidTr="00CE46BA">
        <w:trPr>
          <w:trHeight w:val="288"/>
        </w:trPr>
        <w:tc>
          <w:tcPr>
            <w:tcW w:w="1094" w:type="dxa"/>
            <w:vAlign w:val="center"/>
          </w:tcPr>
          <w:p w:rsidR="006459AF" w:rsidRPr="000475CD" w:rsidRDefault="006459AF" w:rsidP="00CE46BA">
            <w:pPr>
              <w:spacing w:before="240" w:after="240" w:line="360" w:lineRule="auto"/>
              <w:ind w:left="720" w:hanging="72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475CD">
              <w:rPr>
                <w:rFonts w:ascii="Verdana" w:hAnsi="Verdana"/>
                <w:sz w:val="20"/>
                <w:szCs w:val="20"/>
              </w:rPr>
              <w:t xml:space="preserve">REV. 01 </w:t>
            </w:r>
          </w:p>
        </w:tc>
        <w:tc>
          <w:tcPr>
            <w:tcW w:w="1268" w:type="dxa"/>
            <w:vAlign w:val="center"/>
          </w:tcPr>
          <w:p w:rsidR="006459AF" w:rsidRPr="000475CD" w:rsidRDefault="006459AF" w:rsidP="00CE46BA">
            <w:pPr>
              <w:spacing w:before="240" w:after="240" w:line="360" w:lineRule="auto"/>
              <w:ind w:left="720" w:hanging="72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6459AF" w:rsidRPr="000475CD" w:rsidRDefault="006459AF" w:rsidP="00CE46BA">
            <w:pPr>
              <w:spacing w:before="240" w:after="240" w:line="360" w:lineRule="auto"/>
              <w:ind w:left="720" w:hanging="72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9" w:type="dxa"/>
            <w:vAlign w:val="center"/>
          </w:tcPr>
          <w:p w:rsidR="006459AF" w:rsidRPr="000475CD" w:rsidRDefault="006459AF" w:rsidP="00CE46BA">
            <w:pPr>
              <w:spacing w:before="240" w:after="240" w:line="360" w:lineRule="auto"/>
              <w:ind w:left="720" w:hanging="72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475CD"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6459AF" w:rsidRPr="000475CD" w:rsidRDefault="006459AF" w:rsidP="00CE46BA">
            <w:pPr>
              <w:spacing w:before="240" w:after="240" w:line="360" w:lineRule="auto"/>
              <w:ind w:left="720" w:hanging="72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459AF" w:rsidRPr="000475CD" w:rsidRDefault="006459AF" w:rsidP="00CE46BA">
            <w:pPr>
              <w:spacing w:before="240" w:after="240" w:line="360" w:lineRule="auto"/>
              <w:ind w:left="720" w:hanging="72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GPP: Sérgio Lazzarini</w:t>
            </w:r>
          </w:p>
          <w:p w:rsidR="006459AF" w:rsidRPr="000475CD" w:rsidRDefault="006459AF" w:rsidP="00CE46BA">
            <w:pPr>
              <w:spacing w:before="240" w:after="240" w:line="360" w:lineRule="auto"/>
              <w:ind w:left="720" w:hanging="720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459AF" w:rsidRPr="000475CD" w:rsidRDefault="006459AF" w:rsidP="006459AF">
      <w:pPr>
        <w:spacing w:before="240" w:after="240" w:line="360" w:lineRule="auto"/>
        <w:ind w:left="720" w:hanging="720"/>
        <w:contextualSpacing/>
        <w:jc w:val="both"/>
        <w:rPr>
          <w:rFonts w:ascii="Verdana" w:hAnsi="Verdana"/>
          <w:sz w:val="20"/>
          <w:szCs w:val="20"/>
        </w:rPr>
      </w:pPr>
    </w:p>
    <w:p w:rsidR="006459AF" w:rsidRPr="000475CD" w:rsidRDefault="006459AF" w:rsidP="006459AF">
      <w:pPr>
        <w:spacing w:before="240" w:after="240" w:line="360" w:lineRule="auto"/>
        <w:ind w:left="720" w:hanging="720"/>
        <w:contextualSpacing/>
        <w:jc w:val="both"/>
        <w:rPr>
          <w:rFonts w:ascii="Verdana" w:hAnsi="Verdana"/>
          <w:sz w:val="20"/>
          <w:szCs w:val="20"/>
        </w:rPr>
      </w:pPr>
    </w:p>
    <w:p w:rsidR="00280F38" w:rsidRPr="006459AF" w:rsidRDefault="00280F38" w:rsidP="006459AF"/>
    <w:sectPr w:rsidR="00280F38" w:rsidRPr="006459AF" w:rsidSect="000D790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7" w:right="1701" w:bottom="1417" w:left="1701" w:header="708" w:footer="708" w:gutter="0"/>
      <w:pgNumType w:start="1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34" w:rsidRDefault="00B16834">
      <w:r>
        <w:separator/>
      </w:r>
    </w:p>
  </w:endnote>
  <w:endnote w:type="continuationSeparator" w:id="0">
    <w:p w:rsidR="00B16834" w:rsidRDefault="00B1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DF" w:rsidRDefault="00F771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1DF" w:rsidRDefault="00F771DF">
    <w:pPr>
      <w:pStyle w:val="Footer"/>
      <w:ind w:right="360"/>
    </w:pPr>
  </w:p>
  <w:p w:rsidR="00F771DF" w:rsidRDefault="00F771DF" w:rsidP="00F771DF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F771DF" w:rsidTr="00F771DF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771DF" w:rsidRPr="00761F97" w:rsidRDefault="00F771DF" w:rsidP="00F771DF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F771DF" w:rsidRPr="0030197E" w:rsidRDefault="00F771DF" w:rsidP="00F771DF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19391B">
      <w:rPr>
        <w:rStyle w:val="PageNumber"/>
        <w:rFonts w:ascii="Verdana" w:hAnsi="Verdana"/>
        <w:noProof/>
        <w:sz w:val="18"/>
      </w:rPr>
      <w:t>197</w:t>
    </w:r>
    <w:r w:rsidRPr="0030197E">
      <w:rPr>
        <w:rStyle w:val="PageNumber"/>
        <w:rFonts w:ascii="Verdana" w:hAnsi="Verdana"/>
        <w:sz w:val="18"/>
      </w:rPr>
      <w:fldChar w:fldCharType="end"/>
    </w:r>
  </w:p>
  <w:p w:rsidR="00F771DF" w:rsidRDefault="00F771DF">
    <w:pPr>
      <w:pStyle w:val="Footer"/>
      <w:ind w:right="360"/>
    </w:pPr>
  </w:p>
  <w:p w:rsidR="00F771DF" w:rsidRDefault="00F771DF" w:rsidP="00F771DF">
    <w:pPr>
      <w:pStyle w:val="DSLxSty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DF" w:rsidRDefault="00F771DF">
    <w:pPr>
      <w:pStyle w:val="Footer"/>
    </w:pPr>
  </w:p>
  <w:p w:rsidR="00F771DF" w:rsidRDefault="00F771DF" w:rsidP="00F771DF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34" w:rsidRDefault="00B16834">
      <w:r>
        <w:separator/>
      </w:r>
    </w:p>
  </w:footnote>
  <w:footnote w:type="continuationSeparator" w:id="0">
    <w:p w:rsidR="00B16834" w:rsidRDefault="00B16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F771DF" w:rsidTr="00F771DF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F771DF" w:rsidRPr="00FF6FAA" w:rsidRDefault="00F771DF" w:rsidP="00F771DF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F771DF" w:rsidRDefault="00F771DF" w:rsidP="00F771DF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F771DF" w:rsidRPr="00CB6140" w:rsidRDefault="006459AF" w:rsidP="00F771DF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Planejamento e Projetos</w:t>
          </w:r>
        </w:p>
      </w:tc>
      <w:tc>
        <w:tcPr>
          <w:tcW w:w="1843" w:type="dxa"/>
        </w:tcPr>
        <w:p w:rsidR="00F771DF" w:rsidRDefault="00F771DF" w:rsidP="00F771DF">
          <w:pPr>
            <w:pStyle w:val="Header"/>
            <w:spacing w:before="0" w:after="0"/>
            <w:jc w:val="left"/>
          </w:pPr>
          <w:r>
            <w:rPr>
              <w:b/>
            </w:rPr>
            <w:t>Nº:</w:t>
          </w:r>
          <w:r>
            <w:rPr>
              <w:b/>
            </w:rPr>
            <w:br/>
          </w:r>
          <w:r w:rsidR="006459AF">
            <w:t>NG GPP</w:t>
          </w:r>
          <w:r>
            <w:t xml:space="preserve"> 01</w:t>
          </w:r>
        </w:p>
      </w:tc>
    </w:tr>
    <w:tr w:rsidR="00F771DF" w:rsidTr="00F771DF">
      <w:trPr>
        <w:cantSplit/>
        <w:trHeight w:val="558"/>
      </w:trPr>
      <w:tc>
        <w:tcPr>
          <w:tcW w:w="1690" w:type="dxa"/>
          <w:vMerge/>
        </w:tcPr>
        <w:p w:rsidR="00F771DF" w:rsidRPr="00FF6FAA" w:rsidRDefault="00F771DF">
          <w:pPr>
            <w:pStyle w:val="Header"/>
          </w:pPr>
        </w:p>
      </w:tc>
      <w:tc>
        <w:tcPr>
          <w:tcW w:w="1854" w:type="dxa"/>
        </w:tcPr>
        <w:p w:rsidR="00F771DF" w:rsidRPr="00986E3A" w:rsidRDefault="00F771DF" w:rsidP="00F771DF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435016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435016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F771DF" w:rsidRPr="00986E3A" w:rsidRDefault="00F771DF" w:rsidP="00F771DF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F771DF" w:rsidRPr="00986E3A" w:rsidRDefault="00F771DF" w:rsidP="00F771DF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F771DF" w:rsidRPr="007E02A1" w:rsidRDefault="00F771DF" w:rsidP="00F771DF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7E02A1">
            <w:rPr>
              <w:b/>
              <w:sz w:val="16"/>
            </w:rPr>
            <w:t>Revisado por:</w:t>
          </w:r>
          <w:r w:rsidRPr="007E02A1">
            <w:rPr>
              <w:b/>
              <w:sz w:val="16"/>
            </w:rPr>
            <w:br/>
          </w:r>
          <w:r w:rsidR="006459AF">
            <w:rPr>
              <w:sz w:val="16"/>
            </w:rPr>
            <w:t>Sérgio Lazzarini</w:t>
          </w:r>
        </w:p>
      </w:tc>
      <w:tc>
        <w:tcPr>
          <w:tcW w:w="1843" w:type="dxa"/>
        </w:tcPr>
        <w:p w:rsidR="00F771DF" w:rsidRPr="007E02A1" w:rsidRDefault="00F771DF" w:rsidP="00F771DF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7E02A1">
            <w:rPr>
              <w:b/>
              <w:sz w:val="16"/>
            </w:rPr>
            <w:t>Última revisão:</w:t>
          </w:r>
        </w:p>
        <w:p w:rsidR="00F771DF" w:rsidRPr="007E02A1" w:rsidRDefault="00435016" w:rsidP="00F771DF">
          <w:pPr>
            <w:pStyle w:val="Header"/>
            <w:spacing w:before="0" w:after="0"/>
            <w:jc w:val="left"/>
            <w:rPr>
              <w:sz w:val="16"/>
              <w:highlight w:val="yellow"/>
            </w:rPr>
          </w:pPr>
          <w:r>
            <w:rPr>
              <w:sz w:val="16"/>
            </w:rPr>
            <w:t>08/12</w:t>
          </w:r>
          <w:r w:rsidR="00F771DF" w:rsidRPr="007E02A1">
            <w:rPr>
              <w:sz w:val="16"/>
            </w:rPr>
            <w:t>/2017</w:t>
          </w:r>
        </w:p>
      </w:tc>
    </w:tr>
  </w:tbl>
  <w:p w:rsidR="00F771DF" w:rsidRDefault="00F77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BFA6AF7"/>
    <w:multiLevelType w:val="multilevel"/>
    <w:tmpl w:val="B3068E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1E71B6"/>
    <w:multiLevelType w:val="multilevel"/>
    <w:tmpl w:val="AA4E14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5C532539"/>
    <w:multiLevelType w:val="multilevel"/>
    <w:tmpl w:val="F2F2C8C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030"/>
    <w:rsid w:val="00010B9D"/>
    <w:rsid w:val="00024E5F"/>
    <w:rsid w:val="000A203F"/>
    <w:rsid w:val="000A30A0"/>
    <w:rsid w:val="000D7901"/>
    <w:rsid w:val="000E20D0"/>
    <w:rsid w:val="001120D5"/>
    <w:rsid w:val="00132BFA"/>
    <w:rsid w:val="00166E9F"/>
    <w:rsid w:val="001763A7"/>
    <w:rsid w:val="00180412"/>
    <w:rsid w:val="00186FFE"/>
    <w:rsid w:val="0019391B"/>
    <w:rsid w:val="001D3AB5"/>
    <w:rsid w:val="001E18E8"/>
    <w:rsid w:val="00222A5C"/>
    <w:rsid w:val="0022418F"/>
    <w:rsid w:val="00224ECD"/>
    <w:rsid w:val="00242E4E"/>
    <w:rsid w:val="00244E02"/>
    <w:rsid w:val="00263181"/>
    <w:rsid w:val="00280F38"/>
    <w:rsid w:val="002870C6"/>
    <w:rsid w:val="002B0919"/>
    <w:rsid w:val="002D36FE"/>
    <w:rsid w:val="00323F20"/>
    <w:rsid w:val="003424C4"/>
    <w:rsid w:val="003A383F"/>
    <w:rsid w:val="003A6D5A"/>
    <w:rsid w:val="003B349F"/>
    <w:rsid w:val="00410611"/>
    <w:rsid w:val="00435016"/>
    <w:rsid w:val="00474342"/>
    <w:rsid w:val="00486C69"/>
    <w:rsid w:val="004B4049"/>
    <w:rsid w:val="004C30F6"/>
    <w:rsid w:val="004C7304"/>
    <w:rsid w:val="004D6579"/>
    <w:rsid w:val="004E20EC"/>
    <w:rsid w:val="004E3D93"/>
    <w:rsid w:val="00502F90"/>
    <w:rsid w:val="0050584E"/>
    <w:rsid w:val="00521861"/>
    <w:rsid w:val="00552FCF"/>
    <w:rsid w:val="005573EA"/>
    <w:rsid w:val="005968F5"/>
    <w:rsid w:val="005A5FAB"/>
    <w:rsid w:val="005B7FDA"/>
    <w:rsid w:val="005D3030"/>
    <w:rsid w:val="005D672F"/>
    <w:rsid w:val="005F1E52"/>
    <w:rsid w:val="006459AF"/>
    <w:rsid w:val="0066424A"/>
    <w:rsid w:val="00667165"/>
    <w:rsid w:val="00673116"/>
    <w:rsid w:val="0068227F"/>
    <w:rsid w:val="006970D3"/>
    <w:rsid w:val="006E7E75"/>
    <w:rsid w:val="0075479B"/>
    <w:rsid w:val="007D7B8F"/>
    <w:rsid w:val="008370E2"/>
    <w:rsid w:val="00846726"/>
    <w:rsid w:val="00856E8B"/>
    <w:rsid w:val="008705C4"/>
    <w:rsid w:val="00876852"/>
    <w:rsid w:val="00892E64"/>
    <w:rsid w:val="008D2DD9"/>
    <w:rsid w:val="008E5287"/>
    <w:rsid w:val="00963ED6"/>
    <w:rsid w:val="009728E6"/>
    <w:rsid w:val="009D73D8"/>
    <w:rsid w:val="00A01F72"/>
    <w:rsid w:val="00A04E9B"/>
    <w:rsid w:val="00A0633D"/>
    <w:rsid w:val="00A96749"/>
    <w:rsid w:val="00AC6330"/>
    <w:rsid w:val="00AF1A3F"/>
    <w:rsid w:val="00AF3C1F"/>
    <w:rsid w:val="00B11415"/>
    <w:rsid w:val="00B16834"/>
    <w:rsid w:val="00B44C0D"/>
    <w:rsid w:val="00BA06E9"/>
    <w:rsid w:val="00BA35EA"/>
    <w:rsid w:val="00BA72E9"/>
    <w:rsid w:val="00BB2142"/>
    <w:rsid w:val="00C248FB"/>
    <w:rsid w:val="00C4690E"/>
    <w:rsid w:val="00C56C02"/>
    <w:rsid w:val="00C708B6"/>
    <w:rsid w:val="00CD239A"/>
    <w:rsid w:val="00CD7355"/>
    <w:rsid w:val="00D10AB1"/>
    <w:rsid w:val="00D14975"/>
    <w:rsid w:val="00D4218D"/>
    <w:rsid w:val="00D42ED5"/>
    <w:rsid w:val="00D514ED"/>
    <w:rsid w:val="00D65C06"/>
    <w:rsid w:val="00D70B09"/>
    <w:rsid w:val="00DF6D2F"/>
    <w:rsid w:val="00E32366"/>
    <w:rsid w:val="00E554A9"/>
    <w:rsid w:val="00E87BB2"/>
    <w:rsid w:val="00E974F6"/>
    <w:rsid w:val="00ED6B69"/>
    <w:rsid w:val="00EE218F"/>
    <w:rsid w:val="00F35713"/>
    <w:rsid w:val="00F50F4B"/>
    <w:rsid w:val="00F62E01"/>
    <w:rsid w:val="00F771DF"/>
    <w:rsid w:val="00FE06D8"/>
    <w:rsid w:val="00FE4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2B6F1F"/>
  <w15:docId w15:val="{1F11A60F-2C91-4FC7-AF7C-D7DD3F2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customStyle="1" w:styleId="DSLxStyle">
    <w:name w:val="DSLxStyle"/>
    <w:basedOn w:val="ListParagraph"/>
    <w:link w:val="DSLxStyleChar"/>
    <w:rsid w:val="00715E93"/>
    <w:pPr>
      <w:ind w:left="-284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715E93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715E93"/>
    <w:rPr>
      <w:rFonts w:ascii="Verdana" w:hAnsi="Verdana"/>
      <w:color w:val="666666"/>
      <w:sz w:val="12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CEB9-546E-41F2-B2F6-10735BA8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PO CRE 0002</vt:lpstr>
    </vt:vector>
  </TitlesOfParts>
  <Company>Natura Cosmeticos SA</Company>
  <LinksUpToDate>false</LinksUpToDate>
  <CharactersWithSpaces>7240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keywords/>
  <dc:description/>
  <cp:lastModifiedBy>Juliana Santos</cp:lastModifiedBy>
  <cp:revision>6</cp:revision>
  <dcterms:created xsi:type="dcterms:W3CDTF">2017-11-06T13:18:00Z</dcterms:created>
  <dcterms:modified xsi:type="dcterms:W3CDTF">2018-04-18T13:21:00Z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18/08/2017 18:15:31</vt:lpwstr>
  </property>
  <property fmtid="{D5CDD505-2E9C-101B-9397-08002B2CF9AE}" pid="5" name="SSDCxCLASSFICATION_GUID">
    <vt:lpwstr>F04F9F4439A2D2565C282CD369C20AAD</vt:lpwstr>
  </property>
  <property fmtid="{D5CDD505-2E9C-101B-9397-08002B2CF9AE}" pid="6" name="SSDCxCLASSFICATION_LANG">
    <vt:lpwstr>pt</vt:lpwstr>
  </property>
</Properties>
</file>