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CB" w:rsidRPr="00E73E6A" w:rsidRDefault="00E2767F" w:rsidP="00A068CB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E73E6A">
        <w:rPr>
          <w:rFonts w:ascii="Verdana" w:hAnsi="Verdana"/>
          <w:b/>
          <w:sz w:val="20"/>
          <w:szCs w:val="20"/>
        </w:rPr>
        <w:t>Objetivo</w:t>
      </w:r>
    </w:p>
    <w:p w:rsidR="00C91A97" w:rsidRPr="00E73E6A" w:rsidRDefault="00E2767F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Definir diretrizes e padronizar procedimentos que suportam o processo de Patrocínios, visando a redução do risco de parcerias indevidas/conflito de interesses.</w:t>
      </w:r>
    </w:p>
    <w:p w:rsidR="00A068CB" w:rsidRPr="00E73E6A" w:rsidRDefault="00A068CB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A068CB" w:rsidRPr="00E73E6A" w:rsidRDefault="00E2767F" w:rsidP="00A068CB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E73E6A">
        <w:rPr>
          <w:rFonts w:ascii="Verdana" w:hAnsi="Verdana"/>
          <w:b/>
          <w:sz w:val="20"/>
          <w:szCs w:val="20"/>
        </w:rPr>
        <w:t>Abrangência</w:t>
      </w:r>
    </w:p>
    <w:p w:rsidR="00C91A97" w:rsidRPr="00E73E6A" w:rsidRDefault="00E2767F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As definições, diretrizes e demais orientações introduzidas por esta norma aplica-se aos colaboradores envolvidos na captação de patrocínios para eventos públicos ou privados.</w:t>
      </w:r>
    </w:p>
    <w:p w:rsidR="007E35C4" w:rsidRPr="00E73E6A" w:rsidRDefault="00E2767F" w:rsidP="00A068CB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E73E6A">
        <w:rPr>
          <w:rFonts w:ascii="Verdana" w:hAnsi="Verdana"/>
          <w:b/>
          <w:sz w:val="20"/>
          <w:szCs w:val="20"/>
        </w:rPr>
        <w:t>Definições</w:t>
      </w:r>
    </w:p>
    <w:p w:rsidR="00FF1293" w:rsidRPr="00E73E6A" w:rsidRDefault="00E73E6A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  <w:u w:val="single"/>
        </w:rPr>
        <w:t>Assessor (</w:t>
      </w:r>
      <w:r w:rsidR="00FF1293" w:rsidRPr="00E73E6A">
        <w:rPr>
          <w:rFonts w:ascii="Verdana" w:hAnsi="Verdana"/>
          <w:sz w:val="20"/>
          <w:szCs w:val="20"/>
          <w:u w:val="single"/>
        </w:rPr>
        <w:t>a</w:t>
      </w:r>
      <w:r w:rsidR="00E62535" w:rsidRPr="00E73E6A">
        <w:rPr>
          <w:rFonts w:ascii="Verdana" w:hAnsi="Verdana"/>
          <w:sz w:val="20"/>
          <w:szCs w:val="20"/>
          <w:u w:val="single"/>
        </w:rPr>
        <w:t>)</w:t>
      </w:r>
      <w:r w:rsidR="00FF1293" w:rsidRPr="00E73E6A">
        <w:rPr>
          <w:rFonts w:ascii="Verdana" w:hAnsi="Verdana"/>
          <w:sz w:val="20"/>
          <w:szCs w:val="20"/>
          <w:u w:val="single"/>
        </w:rPr>
        <w:t xml:space="preserve"> de Patrocínio:</w:t>
      </w:r>
      <w:r w:rsidR="00FF1293" w:rsidRPr="00E73E6A">
        <w:rPr>
          <w:rFonts w:ascii="Verdana" w:hAnsi="Verdana"/>
          <w:sz w:val="20"/>
          <w:szCs w:val="20"/>
        </w:rPr>
        <w:t xml:space="preserve"> </w:t>
      </w:r>
      <w:r w:rsidR="002F3880" w:rsidRPr="00E73E6A">
        <w:rPr>
          <w:rFonts w:ascii="Verdana" w:hAnsi="Verdana"/>
          <w:sz w:val="20"/>
          <w:szCs w:val="20"/>
        </w:rPr>
        <w:t>Co</w:t>
      </w:r>
      <w:r w:rsidR="00E62535" w:rsidRPr="00E73E6A">
        <w:rPr>
          <w:rFonts w:ascii="Verdana" w:hAnsi="Verdana"/>
          <w:sz w:val="20"/>
          <w:szCs w:val="20"/>
        </w:rPr>
        <w:t>laborador integrante da equipe de Patrocínio da SP Turismo.</w:t>
      </w:r>
    </w:p>
    <w:p w:rsidR="00FF1293" w:rsidRPr="00E73E6A" w:rsidRDefault="00FF1293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E73E6A">
        <w:rPr>
          <w:rFonts w:ascii="Verdana" w:hAnsi="Verdana"/>
          <w:sz w:val="20"/>
          <w:szCs w:val="20"/>
          <w:u w:val="single"/>
        </w:rPr>
        <w:t>Contrato de Participação:</w:t>
      </w:r>
      <w:r w:rsidR="00D00C34" w:rsidRPr="00E73E6A">
        <w:rPr>
          <w:rFonts w:ascii="Verdana" w:hAnsi="Verdana"/>
          <w:sz w:val="20"/>
          <w:szCs w:val="20"/>
        </w:rPr>
        <w:t xml:space="preserve"> Contrato estabelecido entre uma empresa interessada em patrocinar um o evento externo (</w:t>
      </w:r>
      <w:r w:rsidR="00F07A2A" w:rsidRPr="00E73E6A">
        <w:rPr>
          <w:rFonts w:ascii="Verdana" w:hAnsi="Verdana"/>
          <w:sz w:val="20"/>
          <w:szCs w:val="20"/>
        </w:rPr>
        <w:t>evento p</w:t>
      </w:r>
      <w:r w:rsidR="00D00C34" w:rsidRPr="00E73E6A">
        <w:rPr>
          <w:rFonts w:ascii="Verdana" w:hAnsi="Verdana"/>
          <w:sz w:val="20"/>
          <w:szCs w:val="20"/>
        </w:rPr>
        <w:t>rivado).</w:t>
      </w:r>
    </w:p>
    <w:p w:rsidR="00FF1293" w:rsidRPr="00E73E6A" w:rsidRDefault="00FF1293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  <w:u w:val="single"/>
        </w:rPr>
        <w:t>DMV:</w:t>
      </w:r>
      <w:r w:rsidRPr="00E73E6A">
        <w:rPr>
          <w:rFonts w:ascii="Verdana" w:hAnsi="Verdana"/>
          <w:sz w:val="20"/>
          <w:szCs w:val="20"/>
        </w:rPr>
        <w:t xml:space="preserve"> Diretoria de Marketing e Vendas.</w:t>
      </w:r>
    </w:p>
    <w:p w:rsidR="00FF1293" w:rsidRPr="00E73E6A" w:rsidRDefault="00FF1293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  <w:u w:val="single"/>
        </w:rPr>
        <w:t>DOC:</w:t>
      </w:r>
      <w:r w:rsidRPr="00E73E6A">
        <w:rPr>
          <w:rFonts w:ascii="Verdana" w:hAnsi="Verdana"/>
          <w:sz w:val="20"/>
          <w:szCs w:val="20"/>
        </w:rPr>
        <w:t xml:space="preserve"> Diário Oficial da Cidade.</w:t>
      </w:r>
    </w:p>
    <w:p w:rsidR="00FF1293" w:rsidRPr="00E73E6A" w:rsidRDefault="00FF1293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  <w:u w:val="single"/>
        </w:rPr>
        <w:t>DTU:</w:t>
      </w:r>
      <w:r w:rsidRPr="00E73E6A">
        <w:rPr>
          <w:rFonts w:ascii="Verdana" w:hAnsi="Verdana"/>
          <w:sz w:val="20"/>
          <w:szCs w:val="20"/>
        </w:rPr>
        <w:t xml:space="preserve"> Diretoria de Turismo.</w:t>
      </w:r>
    </w:p>
    <w:p w:rsidR="00FF1293" w:rsidRPr="00E73E6A" w:rsidRDefault="00FF1293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E73E6A">
        <w:rPr>
          <w:rFonts w:ascii="Verdana" w:hAnsi="Verdana"/>
          <w:sz w:val="20"/>
          <w:szCs w:val="20"/>
          <w:u w:val="single"/>
        </w:rPr>
        <w:t>GDC:</w:t>
      </w:r>
      <w:r w:rsidRPr="00E73E6A">
        <w:rPr>
          <w:rFonts w:ascii="Verdana" w:hAnsi="Verdana"/>
          <w:sz w:val="20"/>
          <w:szCs w:val="20"/>
        </w:rPr>
        <w:t xml:space="preserve"> Gerência de Controladoria.</w:t>
      </w:r>
    </w:p>
    <w:p w:rsidR="00FF1293" w:rsidRPr="00E73E6A" w:rsidRDefault="00FF1293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E73E6A">
        <w:rPr>
          <w:rFonts w:ascii="Verdana" w:hAnsi="Verdana"/>
          <w:sz w:val="20"/>
          <w:szCs w:val="20"/>
          <w:u w:val="single"/>
        </w:rPr>
        <w:t>GJU:</w:t>
      </w:r>
      <w:r w:rsidRPr="00E73E6A">
        <w:rPr>
          <w:rFonts w:ascii="Verdana" w:hAnsi="Verdana"/>
          <w:sz w:val="20"/>
          <w:szCs w:val="20"/>
        </w:rPr>
        <w:t xml:space="preserve"> Gerência Jurídica.</w:t>
      </w:r>
    </w:p>
    <w:p w:rsidR="00DB0709" w:rsidRPr="00E73E6A" w:rsidRDefault="00DB0709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E73E6A">
        <w:rPr>
          <w:rFonts w:ascii="Verdana" w:hAnsi="Verdana"/>
          <w:sz w:val="20"/>
          <w:szCs w:val="20"/>
          <w:u w:val="single"/>
        </w:rPr>
        <w:t>GVM:</w:t>
      </w:r>
      <w:r w:rsidRPr="00E73E6A">
        <w:rPr>
          <w:rFonts w:ascii="Verdana" w:hAnsi="Verdana"/>
          <w:sz w:val="20"/>
          <w:szCs w:val="20"/>
        </w:rPr>
        <w:t xml:space="preserve"> Gerência de Vendas, Planejamento e Marketing.</w:t>
      </w:r>
    </w:p>
    <w:p w:rsidR="00C91A97" w:rsidRPr="00E73E6A" w:rsidRDefault="00FF1293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E73E6A">
        <w:rPr>
          <w:rFonts w:ascii="Verdana" w:hAnsi="Verdana"/>
          <w:sz w:val="20"/>
          <w:szCs w:val="20"/>
          <w:u w:val="single"/>
        </w:rPr>
        <w:t>Pedido de Patrocínio:</w:t>
      </w:r>
      <w:r w:rsidRPr="00E73E6A">
        <w:rPr>
          <w:rFonts w:ascii="Verdana" w:hAnsi="Verdana"/>
          <w:sz w:val="20"/>
          <w:szCs w:val="20"/>
        </w:rPr>
        <w:t xml:space="preserve"> </w:t>
      </w:r>
      <w:r w:rsidR="00F07A2A" w:rsidRPr="00E73E6A">
        <w:rPr>
          <w:rFonts w:ascii="Verdana" w:hAnsi="Verdana"/>
          <w:sz w:val="20"/>
          <w:szCs w:val="20"/>
        </w:rPr>
        <w:t xml:space="preserve">Formulário em que o interessado em obter patrocínio deve preencher com as informações básicas do seu evento para que a equipe de Patrocínio da DMV possa registrar e avaliar o caso. </w:t>
      </w:r>
    </w:p>
    <w:p w:rsidR="00A068CB" w:rsidRPr="00E73E6A" w:rsidRDefault="00A068CB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  <w:u w:val="single"/>
        </w:rPr>
      </w:pPr>
    </w:p>
    <w:p w:rsidR="00A068CB" w:rsidRPr="00E73E6A" w:rsidRDefault="00E2767F" w:rsidP="00A068CB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b/>
          <w:sz w:val="20"/>
          <w:szCs w:val="20"/>
        </w:rPr>
        <w:t>Diretrizes</w:t>
      </w:r>
    </w:p>
    <w:p w:rsidR="005E68CC" w:rsidRPr="00E73E6A" w:rsidRDefault="00E2767F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b/>
          <w:sz w:val="20"/>
          <w:szCs w:val="20"/>
        </w:rPr>
        <w:t>Patrocínios</w:t>
      </w:r>
    </w:p>
    <w:p w:rsidR="0009530C" w:rsidRPr="00E73E6A" w:rsidRDefault="00804DEF" w:rsidP="00A068CB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Quanto a Patrocínios, a</w:t>
      </w:r>
      <w:r w:rsidR="00E2767F" w:rsidRPr="00E73E6A">
        <w:rPr>
          <w:rFonts w:ascii="Verdana" w:hAnsi="Verdana"/>
          <w:sz w:val="20"/>
          <w:szCs w:val="20"/>
        </w:rPr>
        <w:t xml:space="preserve"> </w:t>
      </w:r>
      <w:r w:rsidR="00A86C05" w:rsidRPr="00E73E6A">
        <w:rPr>
          <w:rFonts w:ascii="Verdana" w:hAnsi="Verdana"/>
          <w:sz w:val="20"/>
          <w:szCs w:val="20"/>
        </w:rPr>
        <w:t>DMV</w:t>
      </w:r>
      <w:r w:rsidR="00E73E6A">
        <w:rPr>
          <w:rFonts w:ascii="Verdana" w:hAnsi="Verdana"/>
          <w:sz w:val="20"/>
          <w:szCs w:val="20"/>
        </w:rPr>
        <w:t xml:space="preserve"> (Diretoria de Marketing e Vendas)</w:t>
      </w:r>
      <w:r w:rsidR="00E2767F" w:rsidRPr="00E73E6A">
        <w:rPr>
          <w:rFonts w:ascii="Verdana" w:hAnsi="Verdana"/>
          <w:sz w:val="20"/>
          <w:szCs w:val="20"/>
        </w:rPr>
        <w:t xml:space="preserve"> </w:t>
      </w:r>
      <w:r w:rsidRPr="00E73E6A">
        <w:rPr>
          <w:rFonts w:ascii="Verdana" w:hAnsi="Verdana"/>
          <w:sz w:val="20"/>
          <w:szCs w:val="20"/>
        </w:rPr>
        <w:t xml:space="preserve">pode capta-los </w:t>
      </w:r>
      <w:r w:rsidR="00E2767F" w:rsidRPr="00E73E6A">
        <w:rPr>
          <w:rFonts w:ascii="Verdana" w:hAnsi="Verdana"/>
          <w:sz w:val="20"/>
          <w:szCs w:val="20"/>
        </w:rPr>
        <w:t xml:space="preserve">de duas maneiras: </w:t>
      </w:r>
    </w:p>
    <w:p w:rsidR="0054359D" w:rsidRPr="00E73E6A" w:rsidRDefault="00825929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54359D" w:rsidRPr="00E73E6A" w:rsidRDefault="00E2767F" w:rsidP="00A068CB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b/>
          <w:sz w:val="20"/>
          <w:szCs w:val="20"/>
        </w:rPr>
        <w:t>Evento Privado</w:t>
      </w:r>
    </w:p>
    <w:p w:rsidR="0014216B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O cliente realizará um evento no Parque Anhembi e solicitará o apoio da Prefeitura de São Paulo e da SP Turismo para divulgação e captação de patrocínios: o cliente entrará e</w:t>
      </w:r>
      <w:r w:rsidR="0025122E" w:rsidRPr="00E73E6A">
        <w:rPr>
          <w:rFonts w:ascii="Verdana" w:hAnsi="Verdana"/>
          <w:sz w:val="20"/>
          <w:szCs w:val="20"/>
        </w:rPr>
        <w:t>m contato com a DMV</w:t>
      </w:r>
      <w:r w:rsidRPr="00E73E6A">
        <w:rPr>
          <w:rFonts w:ascii="Verdana" w:hAnsi="Verdana"/>
          <w:sz w:val="20"/>
          <w:szCs w:val="20"/>
        </w:rPr>
        <w:t xml:space="preserve"> </w:t>
      </w:r>
      <w:r w:rsidR="00B81851" w:rsidRPr="00E73E6A">
        <w:rPr>
          <w:rFonts w:ascii="Verdana" w:hAnsi="Verdana"/>
          <w:sz w:val="20"/>
          <w:szCs w:val="20"/>
        </w:rPr>
        <w:t xml:space="preserve">(Diretoria de Marketing e Vendas) </w:t>
      </w:r>
      <w:r w:rsidRPr="00E73E6A">
        <w:rPr>
          <w:rFonts w:ascii="Verdana" w:hAnsi="Verdana"/>
          <w:sz w:val="20"/>
          <w:szCs w:val="20"/>
        </w:rPr>
        <w:t>para solicitar auxílio na captação de patrocínios para o evento em questão, através do contato pessoal ou eletrônico.</w:t>
      </w:r>
    </w:p>
    <w:p w:rsidR="0014216B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lastRenderedPageBreak/>
        <w:t>Para patrocínios de eventos privados, deve ser agendada uma reunião para apresentação do projeto do respectivo evento, entre as agências e a SP Turismo, onde o Diretor da DMV deverá avaliar os seguintes critérios: se o evento agregará benefícios para a cidade, se irá ocupar equipamento público, certificar-se do público alvo e público esperado, e por meio dessas informações, deverá definir se o projeto é de fato interessante para ser apoiado pela SP Turismo.</w:t>
      </w:r>
    </w:p>
    <w:p w:rsidR="0014216B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Caso o julgamento seja positivo, o Diretor deve encamin</w:t>
      </w:r>
      <w:r w:rsidR="00E62535" w:rsidRPr="00E73E6A">
        <w:rPr>
          <w:rFonts w:ascii="Verdana" w:hAnsi="Verdana"/>
          <w:sz w:val="20"/>
          <w:szCs w:val="20"/>
        </w:rPr>
        <w:t>har o projeto para a equipe</w:t>
      </w:r>
      <w:r w:rsidRPr="00E73E6A">
        <w:rPr>
          <w:rFonts w:ascii="Verdana" w:hAnsi="Verdana"/>
          <w:sz w:val="20"/>
          <w:szCs w:val="20"/>
        </w:rPr>
        <w:t xml:space="preserve"> de Patrocínios darem continuidade ao processo de captação de empresas patrocinadoras.</w:t>
      </w:r>
    </w:p>
    <w:p w:rsidR="000007F9" w:rsidRPr="00E73E6A" w:rsidRDefault="000007F9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4359D" w:rsidRPr="00E73E6A" w:rsidRDefault="00E2767F" w:rsidP="00A068CB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b/>
          <w:sz w:val="20"/>
          <w:szCs w:val="20"/>
        </w:rPr>
        <w:t>Eventos Públicos</w:t>
      </w:r>
    </w:p>
    <w:p w:rsidR="008030E0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A Prefeitura de São Paulo</w:t>
      </w:r>
      <w:r w:rsidR="00A86C05" w:rsidRPr="00E73E6A">
        <w:rPr>
          <w:rFonts w:ascii="Verdana" w:hAnsi="Verdana"/>
          <w:sz w:val="20"/>
          <w:szCs w:val="20"/>
        </w:rPr>
        <w:t>,</w:t>
      </w:r>
      <w:r w:rsidRPr="00E73E6A">
        <w:rPr>
          <w:rFonts w:ascii="Verdana" w:hAnsi="Verdana"/>
          <w:sz w:val="20"/>
          <w:szCs w:val="20"/>
        </w:rPr>
        <w:t xml:space="preserve"> por meio de suas Secretarias, realizará um evento e demandará que a área de Patrocínios fique responsável por prospectar empresas para patrocinar o evento.</w:t>
      </w:r>
    </w:p>
    <w:p w:rsidR="00E3517D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 xml:space="preserve">Para patrocínios de eventos públicos a SP Turismo atuará como a agência da prefeitura para captar empresas patrocinadoras, baseando-se no projeto do evento. </w:t>
      </w:r>
    </w:p>
    <w:p w:rsidR="00E3517D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Nesse caso, as Secretarias podem realizar o projeto jun</w:t>
      </w:r>
      <w:r w:rsidR="00B81851" w:rsidRPr="00E73E6A">
        <w:rPr>
          <w:rFonts w:ascii="Verdana" w:hAnsi="Verdana"/>
          <w:sz w:val="20"/>
          <w:szCs w:val="20"/>
        </w:rPr>
        <w:t>to com a SP Turismo, onde a DTU (Diretoria de Turismo)</w:t>
      </w:r>
      <w:r w:rsidRPr="00E73E6A">
        <w:rPr>
          <w:rFonts w:ascii="Verdana" w:hAnsi="Verdana"/>
          <w:sz w:val="20"/>
          <w:szCs w:val="20"/>
        </w:rPr>
        <w:t xml:space="preserve"> deve ser responsável por calcular os custos do evento, e posteriormente a área de Patrocínios deve analisar os custos do evento e deve definir os níveis de cotas (mínima e máxima) que serão repassados aos futuros patrocinadores.</w:t>
      </w:r>
    </w:p>
    <w:p w:rsidR="00796108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A definição das cotas deve ser baseada em históricos e em pesquisas de mercado, sendo avaliadas criteriosamente pelos responsáveis.</w:t>
      </w:r>
    </w:p>
    <w:p w:rsidR="00796108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Após definidas, as cotas devem passar</w:t>
      </w:r>
      <w:r w:rsidR="00B81851" w:rsidRPr="00E73E6A">
        <w:rPr>
          <w:rFonts w:ascii="Verdana" w:hAnsi="Verdana"/>
          <w:sz w:val="20"/>
          <w:szCs w:val="20"/>
        </w:rPr>
        <w:t xml:space="preserve"> por aprovação da DTU</w:t>
      </w:r>
      <w:r w:rsidRPr="00E73E6A">
        <w:rPr>
          <w:rFonts w:ascii="Verdana" w:hAnsi="Verdana"/>
          <w:sz w:val="20"/>
          <w:szCs w:val="20"/>
        </w:rPr>
        <w:t xml:space="preserve"> e por aprovação do Diretor da DMV. </w:t>
      </w:r>
    </w:p>
    <w:p w:rsidR="00796108" w:rsidRPr="00E73E6A" w:rsidRDefault="00B81851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A DTU</w:t>
      </w:r>
      <w:r w:rsidR="00E2767F" w:rsidRPr="00E73E6A">
        <w:rPr>
          <w:rFonts w:ascii="Verdana" w:hAnsi="Verdana"/>
          <w:sz w:val="20"/>
          <w:szCs w:val="20"/>
        </w:rPr>
        <w:t xml:space="preserve"> da SP Turismo deve ser responsável pela abertura d</w:t>
      </w:r>
      <w:r w:rsidRPr="00E73E6A">
        <w:rPr>
          <w:rFonts w:ascii="Verdana" w:hAnsi="Verdana"/>
          <w:sz w:val="20"/>
          <w:szCs w:val="20"/>
        </w:rPr>
        <w:t>a licitação (chamamento) no DOC (Diário Oficial da Cidade)</w:t>
      </w:r>
      <w:r w:rsidR="00E2767F" w:rsidRPr="00E73E6A">
        <w:rPr>
          <w:rFonts w:ascii="Verdana" w:hAnsi="Verdana"/>
          <w:sz w:val="20"/>
          <w:szCs w:val="20"/>
        </w:rPr>
        <w:t xml:space="preserve">. </w:t>
      </w:r>
    </w:p>
    <w:p w:rsidR="00E3517D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 xml:space="preserve">Caso o projeto do evento seja realizado pelas Secretarias, o cálculo das cotas deve ocorrer da mesma maneira (baseando-se no projeto e nos custos do evento), porém o responsável </w:t>
      </w:r>
      <w:r w:rsidR="00B81851" w:rsidRPr="00E73E6A">
        <w:rPr>
          <w:rFonts w:ascii="Verdana" w:hAnsi="Verdana"/>
          <w:sz w:val="20"/>
          <w:szCs w:val="20"/>
        </w:rPr>
        <w:t>por publicar o chamamento no DOC</w:t>
      </w:r>
      <w:r w:rsidRPr="00E73E6A">
        <w:rPr>
          <w:rFonts w:ascii="Verdana" w:hAnsi="Verdana"/>
          <w:sz w:val="20"/>
          <w:szCs w:val="20"/>
        </w:rPr>
        <w:t xml:space="preserve"> deve ser a própria Secretaria.</w:t>
      </w:r>
    </w:p>
    <w:p w:rsidR="00C23607" w:rsidRPr="00E73E6A" w:rsidRDefault="00825929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1900EC" w:rsidRPr="00E73E6A" w:rsidRDefault="00E2767F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b/>
          <w:sz w:val="20"/>
          <w:szCs w:val="20"/>
        </w:rPr>
        <w:t>Solicitação de Patrocínio</w:t>
      </w:r>
    </w:p>
    <w:p w:rsidR="001900EC" w:rsidRPr="00E73E6A" w:rsidRDefault="00E2767F" w:rsidP="00A068CB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Para todos os pedidos de assessoria para prospecção de patrocínios, a área de Patrocínios deve elaborar o formulário denominado Pedido de Patrocínio.</w:t>
      </w:r>
    </w:p>
    <w:p w:rsidR="001900EC" w:rsidRPr="00E73E6A" w:rsidRDefault="00E2767F" w:rsidP="00A068CB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lastRenderedPageBreak/>
        <w:t xml:space="preserve">O formulário deve ser preenchido pelo solicitante com as seguintes informações: Nome do evento; Pessoa responsável pelo evento; Contatos; Objetivo do evento (resumo); Viabilidade do evento (se o evento é vendável); Rentabilidade do evento; possíveis patrocinadores; entre outras informações. </w:t>
      </w:r>
    </w:p>
    <w:p w:rsidR="001900EC" w:rsidRPr="00E73E6A" w:rsidRDefault="00825929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14216B" w:rsidRPr="00E73E6A" w:rsidRDefault="00E2767F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b/>
          <w:sz w:val="20"/>
          <w:szCs w:val="20"/>
        </w:rPr>
        <w:t>Prospectando Empresas Patrocinadoras</w:t>
      </w:r>
    </w:p>
    <w:p w:rsidR="00ED6AEE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 xml:space="preserve">Para captar patrocínios de demandas externas (eventos privados) a área de Patrocínios deve atuar em conjunto com a agência responsável pelo evento. </w:t>
      </w:r>
    </w:p>
    <w:p w:rsidR="00ED6AEE" w:rsidRPr="00E73E6A" w:rsidRDefault="00E62535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 xml:space="preserve">O </w:t>
      </w:r>
      <w:proofErr w:type="gramStart"/>
      <w:r w:rsidRPr="00E73E6A">
        <w:rPr>
          <w:rFonts w:ascii="Verdana" w:hAnsi="Verdana"/>
          <w:sz w:val="20"/>
          <w:szCs w:val="20"/>
        </w:rPr>
        <w:t>assessor(</w:t>
      </w:r>
      <w:proofErr w:type="gramEnd"/>
      <w:r w:rsidRPr="00E73E6A">
        <w:rPr>
          <w:rFonts w:ascii="Verdana" w:hAnsi="Verdana"/>
          <w:sz w:val="20"/>
          <w:szCs w:val="20"/>
        </w:rPr>
        <w:t xml:space="preserve">a) </w:t>
      </w:r>
      <w:r w:rsidR="00E2767F" w:rsidRPr="00E73E6A">
        <w:rPr>
          <w:rFonts w:ascii="Verdana" w:hAnsi="Verdana"/>
          <w:sz w:val="20"/>
          <w:szCs w:val="20"/>
        </w:rPr>
        <w:t>de Patrocínios devem elaborar</w:t>
      </w:r>
      <w:r w:rsidR="00B81851" w:rsidRPr="00E73E6A">
        <w:rPr>
          <w:rFonts w:ascii="Verdana" w:hAnsi="Verdana"/>
          <w:sz w:val="20"/>
          <w:szCs w:val="20"/>
        </w:rPr>
        <w:t>,</w:t>
      </w:r>
      <w:r w:rsidR="00E2767F" w:rsidRPr="00E73E6A">
        <w:rPr>
          <w:rFonts w:ascii="Verdana" w:hAnsi="Verdana"/>
          <w:sz w:val="20"/>
          <w:szCs w:val="20"/>
        </w:rPr>
        <w:t xml:space="preserve"> por evento, uma lista com possíveis empresas patrocinadoras e seus respectivos contatos.</w:t>
      </w:r>
    </w:p>
    <w:p w:rsidR="006E715E" w:rsidRPr="00E73E6A" w:rsidRDefault="00E62535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Para elaborar a lista, a</w:t>
      </w:r>
      <w:r w:rsidR="00E2767F" w:rsidRPr="00E73E6A">
        <w:rPr>
          <w:rFonts w:ascii="Verdana" w:hAnsi="Verdana"/>
          <w:sz w:val="20"/>
          <w:szCs w:val="20"/>
        </w:rPr>
        <w:t xml:space="preserve"> </w:t>
      </w:r>
      <w:proofErr w:type="gramStart"/>
      <w:r w:rsidRPr="00E73E6A">
        <w:rPr>
          <w:rFonts w:ascii="Verdana" w:hAnsi="Verdana"/>
          <w:sz w:val="20"/>
          <w:szCs w:val="20"/>
        </w:rPr>
        <w:t>a</w:t>
      </w:r>
      <w:r w:rsidR="00E2767F" w:rsidRPr="00E73E6A">
        <w:rPr>
          <w:rFonts w:ascii="Verdana" w:hAnsi="Verdana"/>
          <w:sz w:val="20"/>
          <w:szCs w:val="20"/>
        </w:rPr>
        <w:t>ssessor</w:t>
      </w:r>
      <w:r w:rsidRPr="00E73E6A">
        <w:rPr>
          <w:rFonts w:ascii="Verdana" w:hAnsi="Verdana"/>
          <w:sz w:val="20"/>
          <w:szCs w:val="20"/>
        </w:rPr>
        <w:t>(</w:t>
      </w:r>
      <w:proofErr w:type="gramEnd"/>
      <w:r w:rsidRPr="00E73E6A">
        <w:rPr>
          <w:rFonts w:ascii="Verdana" w:hAnsi="Verdana"/>
          <w:sz w:val="20"/>
          <w:szCs w:val="20"/>
        </w:rPr>
        <w:t>a) deve</w:t>
      </w:r>
      <w:r w:rsidR="00E2767F" w:rsidRPr="00E73E6A">
        <w:rPr>
          <w:rFonts w:ascii="Verdana" w:hAnsi="Verdana"/>
          <w:sz w:val="20"/>
          <w:szCs w:val="20"/>
        </w:rPr>
        <w:t xml:space="preserve"> consultar a base de dados do sistema Protheus verificando quais as empresas mais adequadas. </w:t>
      </w:r>
    </w:p>
    <w:p w:rsidR="0018517F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Essa lista de empresas deve conter empresas diferentes das que a agência responsável pelo evento irá contatar, e a parti</w:t>
      </w:r>
      <w:r w:rsidR="00E62535" w:rsidRPr="00E73E6A">
        <w:rPr>
          <w:rFonts w:ascii="Verdana" w:hAnsi="Verdana"/>
          <w:sz w:val="20"/>
          <w:szCs w:val="20"/>
        </w:rPr>
        <w:t xml:space="preserve">r dessa lista, o </w:t>
      </w:r>
      <w:proofErr w:type="gramStart"/>
      <w:r w:rsidR="00E62535" w:rsidRPr="00E73E6A">
        <w:rPr>
          <w:rFonts w:ascii="Verdana" w:hAnsi="Verdana"/>
          <w:sz w:val="20"/>
          <w:szCs w:val="20"/>
        </w:rPr>
        <w:t>assessor(</w:t>
      </w:r>
      <w:proofErr w:type="gramEnd"/>
      <w:r w:rsidR="00E62535" w:rsidRPr="00E73E6A">
        <w:rPr>
          <w:rFonts w:ascii="Verdana" w:hAnsi="Verdana"/>
          <w:sz w:val="20"/>
          <w:szCs w:val="20"/>
        </w:rPr>
        <w:t>a) deve</w:t>
      </w:r>
      <w:r w:rsidRPr="00E73E6A">
        <w:rPr>
          <w:rFonts w:ascii="Verdana" w:hAnsi="Verdana"/>
          <w:sz w:val="20"/>
          <w:szCs w:val="20"/>
        </w:rPr>
        <w:t xml:space="preserve"> entrar em contato com as empresas agendando reuniões para apresentar o projeto do evento em questão, que pode ser auxiliado pelo próprio cliente. </w:t>
      </w:r>
    </w:p>
    <w:p w:rsidR="001341ED" w:rsidRPr="00E73E6A" w:rsidRDefault="00B81851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Na hipótese d</w:t>
      </w:r>
      <w:r w:rsidR="00E2767F" w:rsidRPr="00E73E6A">
        <w:rPr>
          <w:rFonts w:ascii="Verdana" w:hAnsi="Verdana"/>
          <w:sz w:val="20"/>
          <w:szCs w:val="20"/>
        </w:rPr>
        <w:t>a</w:t>
      </w:r>
      <w:r w:rsidRPr="00E73E6A">
        <w:rPr>
          <w:rFonts w:ascii="Verdana" w:hAnsi="Verdana"/>
          <w:sz w:val="20"/>
          <w:szCs w:val="20"/>
        </w:rPr>
        <w:t xml:space="preserve"> empresa se interessar em</w:t>
      </w:r>
      <w:r w:rsidR="00E2767F" w:rsidRPr="00E73E6A">
        <w:rPr>
          <w:rFonts w:ascii="Verdana" w:hAnsi="Verdana"/>
          <w:sz w:val="20"/>
          <w:szCs w:val="20"/>
        </w:rPr>
        <w:t xml:space="preserve"> patrocinar o evento, a SP Turismo deverá receber da agência um percentual variável de 5</w:t>
      </w:r>
      <w:r w:rsidR="00FF1293" w:rsidRPr="00E73E6A">
        <w:rPr>
          <w:rFonts w:ascii="Verdana" w:hAnsi="Verdana"/>
          <w:sz w:val="20"/>
          <w:szCs w:val="20"/>
        </w:rPr>
        <w:t xml:space="preserve"> (cinco)</w:t>
      </w:r>
      <w:r w:rsidR="00E2767F" w:rsidRPr="00E73E6A">
        <w:rPr>
          <w:rFonts w:ascii="Verdana" w:hAnsi="Verdana"/>
          <w:sz w:val="20"/>
          <w:szCs w:val="20"/>
        </w:rPr>
        <w:t xml:space="preserve"> a 20</w:t>
      </w:r>
      <w:r w:rsidR="00FF1293" w:rsidRPr="00E73E6A">
        <w:rPr>
          <w:rFonts w:ascii="Verdana" w:hAnsi="Verdana"/>
          <w:sz w:val="20"/>
          <w:szCs w:val="20"/>
        </w:rPr>
        <w:t xml:space="preserve"> (vinte) </w:t>
      </w:r>
      <w:r w:rsidR="00E2767F" w:rsidRPr="00E73E6A">
        <w:rPr>
          <w:rFonts w:ascii="Verdana" w:hAnsi="Verdana"/>
          <w:sz w:val="20"/>
          <w:szCs w:val="20"/>
        </w:rPr>
        <w:t xml:space="preserve">% do valor, dependendo da negociação podem haver outras formas de comissionamento. </w:t>
      </w:r>
    </w:p>
    <w:p w:rsidR="006E715E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 xml:space="preserve">A negociação deve ser formalizada em um contrato de participação e assinado por ambas as partes. O contrato deve ser elaborado e validado </w:t>
      </w:r>
      <w:r w:rsidR="00B81851" w:rsidRPr="00E73E6A">
        <w:rPr>
          <w:rFonts w:ascii="Verdana" w:hAnsi="Verdana"/>
          <w:sz w:val="20"/>
          <w:szCs w:val="20"/>
        </w:rPr>
        <w:t>a GJU (Gerência Jurídica)</w:t>
      </w:r>
      <w:r w:rsidRPr="00E73E6A">
        <w:rPr>
          <w:rFonts w:ascii="Verdana" w:hAnsi="Verdana"/>
          <w:sz w:val="20"/>
          <w:szCs w:val="20"/>
        </w:rPr>
        <w:t>.</w:t>
      </w:r>
    </w:p>
    <w:p w:rsidR="00ED6AEE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Caso a empresa patrocin</w:t>
      </w:r>
      <w:r w:rsidR="00B81851" w:rsidRPr="00E73E6A">
        <w:rPr>
          <w:rFonts w:ascii="Verdana" w:hAnsi="Verdana"/>
          <w:sz w:val="20"/>
          <w:szCs w:val="20"/>
        </w:rPr>
        <w:t>adora não demonstre interesse em</w:t>
      </w:r>
      <w:r w:rsidRPr="00E73E6A">
        <w:rPr>
          <w:rFonts w:ascii="Verdana" w:hAnsi="Verdana"/>
          <w:sz w:val="20"/>
          <w:szCs w:val="20"/>
        </w:rPr>
        <w:t xml:space="preserve"> colaborar com o evento, a prospecção deve seguir para a próxima empresa, e deve ser mantido um histórico de rejeições com atualização do controle elaborado para o evento.</w:t>
      </w:r>
    </w:p>
    <w:p w:rsidR="0054359D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A área de Patrocínios da DMV deve frequentar feiras internas (realizadas no espaço Anhembi) ou externas (realizadas em outros locais) para realizar a prospecção de empresas patrocinadoras e estabelecer novos contatos.</w:t>
      </w:r>
    </w:p>
    <w:p w:rsidR="0054359D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Para captar patrocínios de demandas internas (eventos públicos), a prospecção deve ser realizada com a abertura de licitação.</w:t>
      </w:r>
      <w:r w:rsidR="00B81851" w:rsidRPr="00E73E6A">
        <w:rPr>
          <w:rFonts w:ascii="Verdana" w:hAnsi="Verdana"/>
          <w:sz w:val="20"/>
          <w:szCs w:val="20"/>
        </w:rPr>
        <w:t xml:space="preserve"> </w:t>
      </w:r>
    </w:p>
    <w:p w:rsidR="007870E7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A área de Patrocínios deve realizar o cálculo das cotas para o evento público e deve submete</w:t>
      </w:r>
      <w:r w:rsidR="00B81851" w:rsidRPr="00E73E6A">
        <w:rPr>
          <w:rFonts w:ascii="Verdana" w:hAnsi="Verdana"/>
          <w:sz w:val="20"/>
          <w:szCs w:val="20"/>
        </w:rPr>
        <w:t>r à aprovação da DTU</w:t>
      </w:r>
      <w:r w:rsidRPr="00E73E6A">
        <w:rPr>
          <w:rFonts w:ascii="Verdana" w:hAnsi="Verdana"/>
          <w:sz w:val="20"/>
          <w:szCs w:val="20"/>
        </w:rPr>
        <w:t xml:space="preserve"> e do Diretor do DMV. </w:t>
      </w:r>
    </w:p>
    <w:p w:rsidR="00B06B1F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Para eventos públicos, s</w:t>
      </w:r>
      <w:r w:rsidR="00B81851" w:rsidRPr="00E73E6A">
        <w:rPr>
          <w:rFonts w:ascii="Verdana" w:hAnsi="Verdana"/>
          <w:sz w:val="20"/>
          <w:szCs w:val="20"/>
        </w:rPr>
        <w:t>e empresa patrocinadora solicitar</w:t>
      </w:r>
      <w:r w:rsidRPr="00E73E6A">
        <w:rPr>
          <w:rFonts w:ascii="Verdana" w:hAnsi="Verdana"/>
          <w:sz w:val="20"/>
          <w:szCs w:val="20"/>
        </w:rPr>
        <w:t xml:space="preserve"> descontos sobre os valores estabelecidos para patrocinar o evento, os descontos devem passar pela aprovação formal do Diretor de DMV no sistema Protheus, anteriormente à </w:t>
      </w:r>
      <w:r w:rsidRPr="00E73E6A">
        <w:rPr>
          <w:rFonts w:ascii="Verdana" w:hAnsi="Verdana"/>
          <w:sz w:val="20"/>
          <w:szCs w:val="20"/>
        </w:rPr>
        <w:lastRenderedPageBreak/>
        <w:t>formalizaç</w:t>
      </w:r>
      <w:r w:rsidR="00B81851" w:rsidRPr="00E73E6A">
        <w:rPr>
          <w:rFonts w:ascii="Verdana" w:hAnsi="Verdana"/>
          <w:sz w:val="20"/>
          <w:szCs w:val="20"/>
        </w:rPr>
        <w:t>ão do contrato de participação e</w:t>
      </w:r>
      <w:r w:rsidRPr="00E73E6A">
        <w:rPr>
          <w:rFonts w:ascii="Verdana" w:hAnsi="Verdana"/>
          <w:sz w:val="20"/>
          <w:szCs w:val="20"/>
        </w:rPr>
        <w:t xml:space="preserve"> deve ser anexado ao processo administrativo do evento. </w:t>
      </w:r>
    </w:p>
    <w:p w:rsidR="00804DEF" w:rsidRPr="00E73E6A" w:rsidRDefault="00E2767F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As cotas devem ser dir</w:t>
      </w:r>
      <w:r w:rsidR="00B81851" w:rsidRPr="00E73E6A">
        <w:rPr>
          <w:rFonts w:ascii="Verdana" w:hAnsi="Verdana"/>
          <w:sz w:val="20"/>
          <w:szCs w:val="20"/>
        </w:rPr>
        <w:t>ecionadas para a DTU</w:t>
      </w:r>
      <w:r w:rsidRPr="00E73E6A">
        <w:rPr>
          <w:rFonts w:ascii="Verdana" w:hAnsi="Verdana"/>
          <w:sz w:val="20"/>
          <w:szCs w:val="20"/>
        </w:rPr>
        <w:t xml:space="preserve"> ou para a Secretaria responsável pelo evento, que de</w:t>
      </w:r>
      <w:r w:rsidR="00804DEF" w:rsidRPr="00E73E6A">
        <w:rPr>
          <w:rFonts w:ascii="Verdana" w:hAnsi="Verdana"/>
          <w:sz w:val="20"/>
          <w:szCs w:val="20"/>
        </w:rPr>
        <w:t>vem</w:t>
      </w:r>
      <w:r w:rsidR="00B81851" w:rsidRPr="00E73E6A">
        <w:rPr>
          <w:rFonts w:ascii="Verdana" w:hAnsi="Verdana"/>
          <w:sz w:val="20"/>
          <w:szCs w:val="20"/>
        </w:rPr>
        <w:t xml:space="preserve"> realizar a abertura</w:t>
      </w:r>
      <w:r w:rsidR="00804DEF" w:rsidRPr="00E73E6A">
        <w:rPr>
          <w:rFonts w:ascii="Verdana" w:hAnsi="Verdana"/>
          <w:sz w:val="20"/>
          <w:szCs w:val="20"/>
        </w:rPr>
        <w:t xml:space="preserve"> do chamamento público, no DOC, para as empresas interessadas em patrocinar o evento, controlar inscrições, definir pagamento e regras. </w:t>
      </w:r>
    </w:p>
    <w:p w:rsidR="009024EE" w:rsidRPr="00E73E6A" w:rsidRDefault="00B81851" w:rsidP="00A068CB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A GDC</w:t>
      </w:r>
      <w:r w:rsidR="00E2767F" w:rsidRPr="00E73E6A">
        <w:rPr>
          <w:rFonts w:ascii="Verdana" w:hAnsi="Verdana"/>
          <w:sz w:val="20"/>
          <w:szCs w:val="20"/>
        </w:rPr>
        <w:t xml:space="preserve"> deve ser responsável por acompanhar os recebimentos dos patrocinadores e efetuar as cobranças, conforme acordado em contrato.</w:t>
      </w:r>
    </w:p>
    <w:p w:rsidR="00D47507" w:rsidRPr="00E73E6A" w:rsidRDefault="00825929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D47507" w:rsidRPr="00E73E6A" w:rsidRDefault="00E2767F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b/>
          <w:sz w:val="20"/>
          <w:szCs w:val="20"/>
        </w:rPr>
        <w:t>Disponibilização dos Arquivos</w:t>
      </w:r>
    </w:p>
    <w:p w:rsidR="00D47507" w:rsidRPr="00E73E6A" w:rsidRDefault="00E2767F" w:rsidP="00A068CB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 xml:space="preserve">A área de Patrocínios deve utilizar os diretórios de rede, para armazenamento seguro das planilhas, a fim de tornar fácil o acesso a qualquer funcionário da equipe. </w:t>
      </w:r>
    </w:p>
    <w:p w:rsidR="00D47507" w:rsidRPr="00E73E6A" w:rsidRDefault="00E2767F" w:rsidP="00A068CB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Planilhas e arquivos de históricos de eventos anteriormente realizados e respectivo andamento de prospecções atuais devem estar disponibilizados na rede.</w:t>
      </w:r>
    </w:p>
    <w:p w:rsidR="00B06B1F" w:rsidRPr="00E73E6A" w:rsidRDefault="00825929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813B4" w:rsidRPr="00E73E6A" w:rsidRDefault="00E2767F" w:rsidP="00A068CB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b/>
          <w:sz w:val="20"/>
          <w:szCs w:val="20"/>
        </w:rPr>
        <w:t>Penalidades</w:t>
      </w:r>
    </w:p>
    <w:p w:rsidR="00FF1293" w:rsidRPr="00E73E6A" w:rsidRDefault="00E2767F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E73E6A">
        <w:rPr>
          <w:rFonts w:ascii="Verdana" w:hAnsi="Verdana"/>
          <w:b/>
          <w:sz w:val="20"/>
          <w:szCs w:val="20"/>
        </w:rPr>
        <w:t>NG GRH 07</w:t>
      </w:r>
      <w:r w:rsidRPr="00E73E6A">
        <w:rPr>
          <w:rFonts w:ascii="Verdana" w:hAnsi="Verdana"/>
          <w:b/>
          <w:sz w:val="20"/>
          <w:szCs w:val="20"/>
        </w:rPr>
        <w:t xml:space="preserve"> - Conduta Funcional</w:t>
      </w:r>
      <w:r w:rsidRPr="00E73E6A">
        <w:rPr>
          <w:rFonts w:ascii="Verdana" w:hAnsi="Verdana"/>
          <w:sz w:val="20"/>
          <w:szCs w:val="20"/>
        </w:rPr>
        <w:t>, no caso de descumprimento desta Norma</w:t>
      </w:r>
      <w:r w:rsidR="00A068CB" w:rsidRPr="00E73E6A">
        <w:rPr>
          <w:rFonts w:ascii="Verdana" w:hAnsi="Verdana"/>
          <w:sz w:val="20"/>
          <w:szCs w:val="20"/>
        </w:rPr>
        <w:t>.</w:t>
      </w:r>
    </w:p>
    <w:p w:rsidR="00A068CB" w:rsidRPr="00E73E6A" w:rsidRDefault="00A068CB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714F8" w:rsidRPr="00E73E6A" w:rsidRDefault="00E2767F" w:rsidP="00A068CB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b/>
          <w:sz w:val="20"/>
          <w:szCs w:val="20"/>
        </w:rPr>
        <w:t xml:space="preserve">Legislação básica </w:t>
      </w:r>
    </w:p>
    <w:p w:rsidR="003B5613" w:rsidRPr="00E73E6A" w:rsidRDefault="00E2767F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Estatais.</w:t>
      </w:r>
    </w:p>
    <w:p w:rsidR="00B714F8" w:rsidRPr="00E73E6A" w:rsidRDefault="00E2767F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LEI FEDERAL Nº 8.666/93 - Institui normas para licitações e contratos para a Administração Pública.</w:t>
      </w:r>
    </w:p>
    <w:p w:rsidR="00B17993" w:rsidRPr="00E73E6A" w:rsidRDefault="00E2767F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LEI FEDERAL Nº 12.813 - Lei de Conflito de Interesses</w:t>
      </w:r>
      <w:r w:rsidR="00765D83" w:rsidRPr="00E73E6A">
        <w:rPr>
          <w:rFonts w:ascii="Verdana" w:hAnsi="Verdana"/>
          <w:sz w:val="20"/>
          <w:szCs w:val="20"/>
        </w:rPr>
        <w:t>.</w:t>
      </w:r>
    </w:p>
    <w:p w:rsidR="00A068CB" w:rsidRPr="00E73E6A" w:rsidRDefault="00A068CB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260E03" w:rsidRPr="00E73E6A" w:rsidRDefault="00E2767F" w:rsidP="00A068CB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b/>
          <w:sz w:val="20"/>
          <w:szCs w:val="20"/>
        </w:rPr>
        <w:t>Anexos</w:t>
      </w:r>
    </w:p>
    <w:p w:rsidR="003F0B56" w:rsidRPr="00E73E6A" w:rsidRDefault="00133EA2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Não existem anexos referentes a esta norma.</w:t>
      </w:r>
      <w:r w:rsidR="00E2767F" w:rsidRPr="00E73E6A">
        <w:rPr>
          <w:rFonts w:ascii="Verdana" w:hAnsi="Verdana"/>
          <w:sz w:val="20"/>
          <w:szCs w:val="20"/>
        </w:rPr>
        <w:t xml:space="preserve"> </w:t>
      </w:r>
    </w:p>
    <w:p w:rsidR="00A068CB" w:rsidRPr="00E73E6A" w:rsidRDefault="00A068CB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260E03" w:rsidRPr="00E73E6A" w:rsidRDefault="00E2767F" w:rsidP="00A068CB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b/>
          <w:sz w:val="20"/>
          <w:szCs w:val="20"/>
        </w:rPr>
        <w:t>Revisões</w:t>
      </w:r>
    </w:p>
    <w:p w:rsidR="00260E03" w:rsidRPr="00E73E6A" w:rsidRDefault="00E2767F" w:rsidP="00A068CB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sz w:val="20"/>
          <w:szCs w:val="20"/>
        </w:rPr>
        <w:t>Anualmente, as definições e diretrizes desta norma devem ser revisa</w:t>
      </w:r>
      <w:r w:rsidR="00DB0709" w:rsidRPr="00E73E6A">
        <w:rPr>
          <w:rFonts w:ascii="Verdana" w:hAnsi="Verdana"/>
          <w:sz w:val="20"/>
          <w:szCs w:val="20"/>
        </w:rPr>
        <w:t>das e aprovadas pela GVM (Gerência de Venda, Planejamento e Marketing)</w:t>
      </w:r>
      <w:r w:rsidRPr="00E73E6A">
        <w:rPr>
          <w:rFonts w:ascii="Verdana" w:hAnsi="Verdana"/>
          <w:sz w:val="20"/>
          <w:szCs w:val="20"/>
        </w:rPr>
        <w:t>, respectivamente.</w:t>
      </w:r>
    </w:p>
    <w:p w:rsidR="00A068CB" w:rsidRPr="00E73E6A" w:rsidRDefault="00A068CB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1E54BD" w:rsidRPr="00E73E6A" w:rsidRDefault="001E54BD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1E54BD" w:rsidRPr="00E73E6A" w:rsidRDefault="001E54BD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1E54BD" w:rsidRPr="00E73E6A" w:rsidRDefault="001E54BD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0722E2" w:rsidRPr="00E73E6A" w:rsidRDefault="000722E2" w:rsidP="00A068CB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9B2F21" w:rsidRPr="00E73E6A" w:rsidRDefault="00E2767F" w:rsidP="00A068CB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73E6A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1794"/>
        <w:gridCol w:w="2872"/>
      </w:tblGrid>
      <w:tr w:rsidR="009B2F21" w:rsidRPr="00E73E6A" w:rsidTr="00232A6D">
        <w:trPr>
          <w:trHeight w:val="230"/>
        </w:trPr>
        <w:tc>
          <w:tcPr>
            <w:tcW w:w="903" w:type="dxa"/>
            <w:vMerge w:val="restart"/>
            <w:shd w:val="clear" w:color="auto" w:fill="C0C0C0"/>
            <w:vAlign w:val="center"/>
          </w:tcPr>
          <w:p w:rsidR="009B2F21" w:rsidRPr="00E73E6A" w:rsidRDefault="00E2767F" w:rsidP="00A068CB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3E6A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2F21" w:rsidRPr="00E73E6A" w:rsidRDefault="00E2767F" w:rsidP="00A068CB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3E6A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3106" w:type="dxa"/>
            <w:vMerge w:val="restart"/>
            <w:shd w:val="clear" w:color="auto" w:fill="C0C0C0"/>
            <w:vAlign w:val="center"/>
          </w:tcPr>
          <w:p w:rsidR="009B2F21" w:rsidRPr="00E73E6A" w:rsidRDefault="00E2767F" w:rsidP="00A068CB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3E6A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484" w:type="dxa"/>
            <w:vMerge w:val="restart"/>
            <w:shd w:val="clear" w:color="auto" w:fill="C0C0C0"/>
            <w:vAlign w:val="center"/>
          </w:tcPr>
          <w:p w:rsidR="009B2F21" w:rsidRPr="00E73E6A" w:rsidRDefault="00A068CB" w:rsidP="00A068CB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73E6A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E2767F" w:rsidRPr="00E73E6A">
              <w:rPr>
                <w:rFonts w:ascii="Verdana" w:hAnsi="Verdana"/>
                <w:b/>
                <w:sz w:val="20"/>
                <w:szCs w:val="20"/>
              </w:rPr>
              <w:t>/Aprovadores</w:t>
            </w:r>
          </w:p>
        </w:tc>
      </w:tr>
      <w:tr w:rsidR="009B2F21" w:rsidRPr="00E73E6A" w:rsidTr="00232A6D">
        <w:trPr>
          <w:trHeight w:val="184"/>
        </w:trPr>
        <w:tc>
          <w:tcPr>
            <w:tcW w:w="0" w:type="auto"/>
            <w:vMerge/>
          </w:tcPr>
          <w:p w:rsidR="000007F9" w:rsidRPr="00E73E6A" w:rsidRDefault="000007F9" w:rsidP="00A068CB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2F21" w:rsidRPr="00E73E6A" w:rsidRDefault="00E2767F" w:rsidP="00A068CB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73E6A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2F21" w:rsidRPr="00E73E6A" w:rsidRDefault="00E2767F" w:rsidP="00A068CB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73E6A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0007F9" w:rsidRPr="00E73E6A" w:rsidRDefault="000007F9" w:rsidP="00A068CB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07F9" w:rsidRPr="00E73E6A" w:rsidRDefault="000007F9" w:rsidP="00A068CB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32A6D" w:rsidRPr="00E73E6A" w:rsidTr="00232A6D">
        <w:trPr>
          <w:trHeight w:val="288"/>
        </w:trPr>
        <w:tc>
          <w:tcPr>
            <w:tcW w:w="903" w:type="dxa"/>
            <w:vAlign w:val="center"/>
          </w:tcPr>
          <w:p w:rsidR="00232A6D" w:rsidRPr="00E73E6A" w:rsidRDefault="00E2767F" w:rsidP="00A068CB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73E6A">
              <w:rPr>
                <w:rFonts w:ascii="Verdana" w:hAnsi="Verdana"/>
                <w:sz w:val="20"/>
                <w:szCs w:val="20"/>
              </w:rPr>
              <w:t>REV. 01</w:t>
            </w:r>
          </w:p>
        </w:tc>
        <w:tc>
          <w:tcPr>
            <w:tcW w:w="1176" w:type="dxa"/>
            <w:vAlign w:val="center"/>
          </w:tcPr>
          <w:p w:rsidR="00232A6D" w:rsidRPr="00E73E6A" w:rsidRDefault="00825929" w:rsidP="00A068CB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232A6D" w:rsidRPr="00E73E6A" w:rsidRDefault="00825929" w:rsidP="00A068CB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6" w:type="dxa"/>
            <w:vAlign w:val="center"/>
          </w:tcPr>
          <w:p w:rsidR="00232A6D" w:rsidRPr="00E73E6A" w:rsidRDefault="00E73E6A" w:rsidP="00A068CB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232A6D" w:rsidRPr="00E73E6A" w:rsidRDefault="00825929" w:rsidP="00A068CB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232A6D" w:rsidRPr="00E73E6A" w:rsidRDefault="00DB0709" w:rsidP="00DB0709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73E6A">
              <w:rPr>
                <w:rFonts w:ascii="Verdana" w:hAnsi="Verdana"/>
                <w:sz w:val="20"/>
                <w:szCs w:val="20"/>
              </w:rPr>
              <w:t>GVM</w:t>
            </w:r>
            <w:r w:rsidR="00E2767F" w:rsidRPr="00E73E6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E73E6A">
              <w:rPr>
                <w:rFonts w:ascii="Verdana" w:hAnsi="Verdana"/>
                <w:sz w:val="20"/>
                <w:szCs w:val="20"/>
              </w:rPr>
              <w:t xml:space="preserve">Ana Paula Marques </w:t>
            </w:r>
          </w:p>
        </w:tc>
      </w:tr>
    </w:tbl>
    <w:p w:rsidR="00592561" w:rsidRPr="00E73E6A" w:rsidRDefault="00825929" w:rsidP="00A068CB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4359D" w:rsidRPr="00E73E6A" w:rsidRDefault="00825929" w:rsidP="00A068CB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4359D" w:rsidRPr="00E73E6A" w:rsidRDefault="00825929" w:rsidP="00A068CB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54359D" w:rsidRPr="00E73E6A" w:rsidSect="00555AA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701" w:bottom="1417" w:left="1701" w:header="708" w:footer="708" w:gutter="0"/>
      <w:pgNumType w:start="1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29" w:rsidRDefault="00825929">
      <w:r>
        <w:separator/>
      </w:r>
    </w:p>
  </w:endnote>
  <w:endnote w:type="continuationSeparator" w:id="0">
    <w:p w:rsidR="00825929" w:rsidRDefault="0082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E276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825929">
    <w:pPr>
      <w:pStyle w:val="Footer"/>
      <w:ind w:right="360"/>
    </w:pPr>
  </w:p>
  <w:p w:rsidR="00DA0FA6" w:rsidRDefault="00825929" w:rsidP="00DA0FA6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E2767F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E2767F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237E26">
      <w:rPr>
        <w:rStyle w:val="PageNumber"/>
        <w:rFonts w:ascii="Verdana" w:hAnsi="Verdana"/>
        <w:noProof/>
        <w:sz w:val="18"/>
      </w:rPr>
      <w:t>190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825929">
    <w:pPr>
      <w:pStyle w:val="Footer"/>
      <w:ind w:right="360"/>
    </w:pPr>
  </w:p>
  <w:p w:rsidR="00DA0FA6" w:rsidRDefault="00825929" w:rsidP="00DA0FA6">
    <w:pPr>
      <w:pStyle w:val="DSLx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A6" w:rsidRDefault="00825929">
    <w:pPr>
      <w:pStyle w:val="Footer"/>
    </w:pPr>
  </w:p>
  <w:p w:rsidR="00DA0FA6" w:rsidRDefault="00825929" w:rsidP="00DA0FA6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29" w:rsidRDefault="00825929">
      <w:r>
        <w:separator/>
      </w:r>
    </w:p>
  </w:footnote>
  <w:footnote w:type="continuationSeparator" w:id="0">
    <w:p w:rsidR="00825929" w:rsidRDefault="0082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E2767F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E2767F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E2767F" w:rsidP="00733F4D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Patrocínios</w:t>
          </w:r>
        </w:p>
      </w:tc>
      <w:tc>
        <w:tcPr>
          <w:tcW w:w="1843" w:type="dxa"/>
        </w:tcPr>
        <w:p w:rsidR="00600D3B" w:rsidRDefault="00E2767F" w:rsidP="00E54DF8">
          <w:pPr>
            <w:pStyle w:val="Header"/>
            <w:spacing w:before="0" w:after="0"/>
            <w:jc w:val="left"/>
          </w:pPr>
          <w:r>
            <w:rPr>
              <w:b/>
            </w:rPr>
            <w:t>Nº</w:t>
          </w:r>
          <w:r w:rsidRPr="008D692E">
            <w:rPr>
              <w:b/>
            </w:rPr>
            <w:t>:</w:t>
          </w:r>
          <w:r w:rsidRPr="008D692E">
            <w:rPr>
              <w:b/>
            </w:rPr>
            <w:br/>
          </w:r>
          <w:r w:rsidR="00DB0709">
            <w:t>NG GVM</w:t>
          </w:r>
          <w:r w:rsidRPr="008D692E">
            <w:t xml:space="preserve"> 0</w:t>
          </w:r>
          <w:r w:rsidR="00DF66BA">
            <w:t>4</w:t>
          </w:r>
        </w:p>
      </w:tc>
    </w:tr>
    <w:tr w:rsidR="003D67B9" w:rsidTr="00F40C10">
      <w:trPr>
        <w:cantSplit/>
        <w:trHeight w:val="558"/>
      </w:trPr>
      <w:tc>
        <w:tcPr>
          <w:tcW w:w="1690" w:type="dxa"/>
          <w:vMerge/>
        </w:tcPr>
        <w:p w:rsidR="003D67B9" w:rsidRPr="00FF6FAA" w:rsidRDefault="00825929">
          <w:pPr>
            <w:pStyle w:val="Header"/>
          </w:pPr>
        </w:p>
      </w:tc>
      <w:tc>
        <w:tcPr>
          <w:tcW w:w="1854" w:type="dxa"/>
        </w:tcPr>
        <w:p w:rsidR="003D67B9" w:rsidRPr="00986E3A" w:rsidRDefault="00E2767F" w:rsidP="00FF1293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237E26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237E26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E2767F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E2767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  <w:shd w:val="clear" w:color="auto" w:fill="auto"/>
        </w:tcPr>
        <w:p w:rsidR="003D67B9" w:rsidRPr="00127D86" w:rsidRDefault="00E2767F" w:rsidP="00733F4D">
          <w:pPr>
            <w:pStyle w:val="Header"/>
            <w:spacing w:before="0" w:after="0"/>
            <w:jc w:val="left"/>
            <w:rPr>
              <w:sz w:val="16"/>
            </w:rPr>
          </w:pPr>
          <w:r w:rsidRPr="00F40C10">
            <w:rPr>
              <w:b/>
              <w:sz w:val="16"/>
            </w:rPr>
            <w:t>Revisado por:</w:t>
          </w:r>
          <w:r w:rsidRPr="00F40C10">
            <w:rPr>
              <w:b/>
              <w:sz w:val="16"/>
            </w:rPr>
            <w:br/>
          </w:r>
          <w:r>
            <w:rPr>
              <w:sz w:val="16"/>
            </w:rPr>
            <w:t>Ana Paula Marques</w:t>
          </w:r>
        </w:p>
      </w:tc>
      <w:tc>
        <w:tcPr>
          <w:tcW w:w="1843" w:type="dxa"/>
          <w:shd w:val="clear" w:color="auto" w:fill="auto"/>
        </w:tcPr>
        <w:p w:rsidR="00D81AAD" w:rsidRPr="00F40C10" w:rsidRDefault="00E2767F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F40C10">
            <w:rPr>
              <w:b/>
              <w:sz w:val="16"/>
            </w:rPr>
            <w:t>Última revisão:</w:t>
          </w:r>
        </w:p>
        <w:p w:rsidR="003D67B9" w:rsidRPr="00127D86" w:rsidRDefault="00237E26" w:rsidP="00733F4D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08/12</w:t>
          </w:r>
          <w:r w:rsidR="00E2767F">
            <w:rPr>
              <w:sz w:val="16"/>
            </w:rPr>
            <w:t>/2017</w:t>
          </w:r>
        </w:p>
      </w:tc>
    </w:tr>
  </w:tbl>
  <w:p w:rsidR="003D67B9" w:rsidRDefault="00825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10FE40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B75E1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4BFA0E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F9"/>
    <w:rsid w:val="000007F9"/>
    <w:rsid w:val="00030E2A"/>
    <w:rsid w:val="000722E2"/>
    <w:rsid w:val="000A6B4F"/>
    <w:rsid w:val="00133EA2"/>
    <w:rsid w:val="001E54BD"/>
    <w:rsid w:val="00237E26"/>
    <w:rsid w:val="0025122E"/>
    <w:rsid w:val="002E562E"/>
    <w:rsid w:val="002F3880"/>
    <w:rsid w:val="003A3121"/>
    <w:rsid w:val="004E06A3"/>
    <w:rsid w:val="00555AA0"/>
    <w:rsid w:val="00765D83"/>
    <w:rsid w:val="007B7F57"/>
    <w:rsid w:val="00804DEF"/>
    <w:rsid w:val="00825929"/>
    <w:rsid w:val="00A068CB"/>
    <w:rsid w:val="00A86C05"/>
    <w:rsid w:val="00B81851"/>
    <w:rsid w:val="00C44611"/>
    <w:rsid w:val="00CA681B"/>
    <w:rsid w:val="00D00C34"/>
    <w:rsid w:val="00D16280"/>
    <w:rsid w:val="00DB0709"/>
    <w:rsid w:val="00DF66BA"/>
    <w:rsid w:val="00E074D4"/>
    <w:rsid w:val="00E2767F"/>
    <w:rsid w:val="00E62535"/>
    <w:rsid w:val="00E73E6A"/>
    <w:rsid w:val="00F07A2A"/>
    <w:rsid w:val="00FD073E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175D9"/>
  <w15:docId w15:val="{6F03CAA7-27E3-4A48-9528-E124615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">
    <w:name w:val="Cabeçalho do Sumário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DA0FA6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DA0FA6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DA0FA6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EF55-E07C-40AC-B705-2FA6025E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Falhas com usuários criados na ferramenta SGA, aponta que e-mail pessoal esta igual ao e-mail corporativo no cadastro de pesso</vt:lpstr>
    </vt:vector>
  </TitlesOfParts>
  <Company>Natura Cosmeticos SA</Company>
  <LinksUpToDate>false</LinksUpToDate>
  <CharactersWithSpaces>7579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71</cp:revision>
  <dcterms:created xsi:type="dcterms:W3CDTF">2017-07-25T18:38:00Z</dcterms:created>
  <dcterms:modified xsi:type="dcterms:W3CDTF">2018-04-18T13:19:00Z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10/08/2017 08:55:17</vt:lpwstr>
  </property>
  <property fmtid="{D5CDD505-2E9C-101B-9397-08002B2CF9AE}" pid="5" name="SSDCxCLASSFICATION_GUID">
    <vt:lpwstr>067D491AA4747348880B52C04985F3AA</vt:lpwstr>
  </property>
</Properties>
</file>